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CORRELATES OF PROBLEMATIC GAMING – IS THERE SUPPORT FOR PRONENESS TO RISKY BEHAVIOUR?</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10.24869/psyd.2017.302</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29</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Sincek D.;Tomasic Humer J.;Duvnjak I.</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Psychiatria Danubina</w:t>
      </w:r>
    </w:p>
    <w:p>
      <w:pPr>
        <w:pStyle w:val="Heading2"/>
      </w:pPr>
      <w:bookmarkStart w:id="13" w:name="_Toc14"/>
      <w:r>
        <w:t>Topics</w:t>
      </w:r>
      <w:bookmarkEnd w:id="13"/>
    </w:p>
    <w:p>
      <w:pPr/>
      <w:r>
        <w:rPr/>
        <w:t xml:space="preserve">Risks and harms</w:t>
      </w:r>
    </w:p>
    <w:p>
      <w:pPr>
        <w:pStyle w:val="Heading2"/>
      </w:pPr>
      <w:bookmarkStart w:id="14" w:name="_Toc15"/>
      <w:r>
        <w:t>Sample</w:t>
      </w:r>
      <w:bookmarkEnd w:id="14"/>
    </w:p>
    <w:p>
      <w:pPr/>
      <w:r>
        <w:rPr/>
        <w:t xml:space="preserve">"1150 children and adolescents from different  elementary  and  high  schools  in  both  rural  and  urban areas. Their ages ranged from 11 to 21 (M=14.77, SD=2.259).  In  terms  of  gender,  533  participants  were  identified  as  male  (46.3%).  All  students  were  either  in  the  sixth  (24.9%)  or  eighth  (25.6%)  grades  of  elementary school, or in the second (27.7%) or fourth (21.9%) grades  of  high  school.  A  total  of  363  (32.1%)  participants said they never play games, so they were excluded from further analysis." Šincek et al, 2017, 304</w:t>
      </w:r>
    </w:p>
    <w:p>
      <w:pPr>
        <w:pStyle w:val="Heading2"/>
      </w:pPr>
      <w:bookmarkStart w:id="15" w:name="_Toc16"/>
      <w:r>
        <w:t>Implications For Parents About</w:t>
      </w:r>
      <w:bookmarkEnd w:id="15"/>
    </w:p>
    <w:p>
      <w:pPr/>
      <w:r>
        <w:rPr/>
        <w:t xml:space="preserve">Parenting guidance / support </w:t>
      </w:r>
    </w:p>
    <w:p>
      <w:pPr>
        <w:pStyle w:val="Heading1"/>
      </w:pPr>
      <w:bookmarkStart w:id="16" w:name="_Toc17"/>
      <w:r>
        <w:t>Abstract</w:t>
      </w:r>
      <w:bookmarkEnd w:id="16"/>
    </w:p>
    <w:p>
      <w:pPr/>
      <w:r>
        <w:rPr/>
        <w:t xml:space="preserve">Background: This  paper  explores  problematic  Internet  gaming  in  the  context  of  other  forms  of  risky  behaviour.  The  basic  premise is that children and adolescents at risk will display different types of risky behaviour in various settings.  Subjects  and  methods:  Children  and  adolescents  (N=1150)  were  surveyed  about  (cyber)violence,  problematic  gaming  (habits,  motives and symptoms), self-disclosure via Facebook and self-esteem. 
Results: Regular gamers were more violent both face-to-face and via the Internet, and were more prone to problematic gaming than  occasional  gamers.  Those  who  played  games  for  more  than  five  hours  per  day  (9%  of  respondents)  were  classified  as  potentially  problematic  gamers.  They  experienced  and  committed  more  violence  both  face-to-face  and  via  the  Internet,  were  more  involved  in  self-disclosure  and  had  more  problematic  gaming  symptoms  than  those  who  played  for  less  than  five  hours  a  day,  but  these  groups  did  not  differ  in  self-esteem.  Participants  could  choose  from  a  list  of  eight  different  motives  for  their  gaming;  those motivated  by  peer  communication,  a  sense  of  control,  relaxation,  conformism,  self-efficacy  and  to  distract  from  problems  reported more  symptoms  of  problematic  gaming  than  those  not  motivated  by  these  factors.  Gender,  age,  self-esteem,  self-disclosure  and  
committing violence contributed to explaining the variance in problematic gaming, accounting for about 26% of its variance. Boys, lower  self-esteem,  more  self-disclosure  and  committing  both  types  of  violence  more  regularly  were  connected  with  reporting  more symptoms of problematic gaming. The results will be discussed in the context of a general proneness to risky behaviour.  
Conclusion:  Committing  violence  against  peers  (both  traditional  and  cyber)  predicts  significantly  problematic  gaming.  This  supports  the  premise  that  children  and  adolescents  at  risk  are  prone  to  exhibiting  different  forms  of  risky  behaviour  in  different settings.</w:t>
      </w:r>
    </w:p>
    <w:p>
      <w:pPr>
        <w:pStyle w:val="Heading1"/>
      </w:pPr>
      <w:bookmarkStart w:id="17" w:name="_Toc18"/>
      <w:r>
        <w:t>Outcome</w:t>
      </w:r>
      <w:bookmarkEnd w:id="17"/>
    </w:p>
    <w:p>
      <w:pPr/>
      <w:r>
        <w:rPr/>
        <w:t xml:space="preserve">"Based on  how  often participants played games,  they were  divided  into  occasional  (playing  games  sometimes;  n=546;  47.5%)  or  regular  (playing  games  
every  day;  n=223;  19.4%)  gamers.  Furthermore,  boys  were more likely to be regular gamers than girls.  Regular  gamers  gained  higher  results in problematic online gaming, traditional school bullying and cyberbullying than occasional gamers. Of  the  regular  gamers,  71  participants  stated  that  
they played for more than five hours per day, and were thus classified as potentially problematic gamers. Furthermore, boys were more likely to play games than 
girls, and  the  girls  who  play  games  spend  less  time  playing  than  boys.  Boys  provided  higher  results  in  problematic online gaming, traditional school bullying and cyberbullying than  girls.  There  were  no  gender  differences  in  self-disclosure  and  self-esteem.  It was found that elementary school students reported lower levels of traditional school bullying, cyberbullying and self-disclosure. Potentially  problematic  gamers  experienced  and  committed more violence both face-to-face and via the Internet.  They  were  also  more  involved  in  self-disclosure, had more problematic gaming symptoms than those who played for less than five hours daily, and earned  lower  grades." Šincek et al, 2017, 306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07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2025-11-07T03:59:23+00:00</dcterms:created>
  <dcterms:modified xsi:type="dcterms:W3CDTF">2025-11-07T03:59:23+00:00</dcterms:modified>
</cp:coreProperties>
</file>

<file path=docProps/custom.xml><?xml version="1.0" encoding="utf-8"?>
<Properties xmlns="http://schemas.openxmlformats.org/officeDocument/2006/custom-properties" xmlns:vt="http://schemas.openxmlformats.org/officeDocument/2006/docPropsVTypes"/>
</file>