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data and privacy online: Growing up in a digital age. Research findings.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Authors</w:t>
      </w:r>
      <w:bookmarkEnd w:id="5"/>
    </w:p>
    <w:p>
      <w:pPr/>
      <w:r>
        <w:rPr/>
        <w:t xml:space="preserve">Stoilova M.;Livingstone S.;Nandagiri R.</w:t>
      </w:r>
    </w:p>
    <w:p>
      <w:pPr>
        <w:pStyle w:val="Heading2"/>
      </w:pPr>
      <w:bookmarkStart w:id="6" w:name="_Toc7"/>
      <w:r>
        <w:t>Type</w:t>
      </w:r>
      <w:bookmarkEnd w:id="6"/>
    </w:p>
    <w:p>
      <w:pPr/>
      <w:r>
        <w:rPr/>
        <w:t xml:space="preserve">Report and working paper</w:t>
      </w:r>
    </w:p>
    <w:p>
      <w:pPr>
        <w:pStyle w:val="Heading2"/>
      </w:pPr>
      <w:bookmarkStart w:id="7" w:name="_Toc8"/>
      <w:r>
        <w:t>Publisher</w:t>
      </w:r>
      <w:bookmarkEnd w:id="7"/>
    </w:p>
    <w:p>
      <w:pPr/>
      <w:r>
        <w:rPr/>
        <w:t xml:space="preserve">London School of Economics and Political Science.</w:t>
      </w:r>
    </w:p>
    <w:p>
      <w:pPr>
        <w:pStyle w:val="Heading2"/>
      </w:pPr>
      <w:bookmarkStart w:id="8" w:name="_Toc9"/>
      <w:r>
        <w:t>Place</w:t>
      </w:r>
      <w:bookmarkEnd w:id="8"/>
    </w:p>
    <w:p>
      <w:pPr/>
      <w:r>
        <w:rPr/>
        <w:t xml:space="preserve">Lodon</w:t>
      </w:r>
    </w:p>
    <w:p>
      <w:pPr>
        <w:pStyle w:val="Heading2"/>
      </w:pPr>
      <w:bookmarkStart w:id="9" w:name="_Toc10"/>
      <w:r>
        <w:t>Topics</w:t>
      </w:r>
      <w:bookmarkEnd w:id="9"/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Risks and harms</w:t>
      </w:r>
    </w:p>
    <w:p>
      <w:pPr>
        <w:numPr>
          <w:ilvl w:val="0"/>
          <w:numId w:val="5"/>
        </w:numPr>
      </w:pPr>
      <w:r>
        <w:rPr/>
        <w:t xml:space="preserve">Online safety and policy regulation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pStyle w:val="Heading2"/>
      </w:pPr>
      <w:bookmarkStart w:id="10" w:name="_Toc11"/>
      <w:r>
        <w:t>Sample</w:t>
      </w:r>
      <w:bookmarkEnd w:id="10"/>
    </w:p>
    <w:p>
      <w:pPr/>
      <w:r>
        <w:rPr/>
        <w:t xml:space="preserve">•	28 mixed-gender focus groups, lasting 173 minutes on average, with 135 children aged 11-12 (Year 7), 13-14 (Year 9) and 15-16 (Year 11).
•	Two focus groups and seven interviews with teachers, one focus group with parents and 15 child–parent paired interviews.
•	Three child jury panels with a mix of 18 children in Years 8 and 10.</w:t>
      </w:r>
    </w:p>
    <w:p>
      <w:pPr>
        <w:pStyle w:val="Heading2"/>
      </w:pPr>
      <w:bookmarkStart w:id="11" w:name="_Toc12"/>
      <w:r>
        <w:t>Implications For Parents About</w:t>
      </w:r>
      <w:bookmarkEnd w:id="11"/>
    </w:p>
    <w:p>
      <w:pPr/>
      <w:r>
        <w:rPr/>
        <w:t xml:space="preserve">Parental practices / parental mediation</w:t>
      </w:r>
    </w:p>
    <w:p>
      <w:pPr>
        <w:pStyle w:val="Heading2"/>
      </w:pPr>
      <w:bookmarkStart w:id="12" w:name="_Toc13"/>
      <w:r>
        <w:t>Implications For Educators About</w:t>
      </w:r>
      <w:bookmarkEnd w:id="12"/>
    </w:p>
    <w:p>
      <w:pPr/>
      <w:r>
        <w:rPr/>
        <w:t xml:space="preserve">Digital citizenship</w:t>
      </w:r>
    </w:p>
    <w:p>
      <w:pPr>
        <w:pStyle w:val="Heading2"/>
      </w:pPr>
      <w:bookmarkStart w:id="13" w:name="_Toc14"/>
      <w:r>
        <w:t>Implications For Policy Makers About</w:t>
      </w:r>
      <w:bookmarkEnd w:id="13"/>
    </w:p>
    <w:p>
      <w:pPr/>
      <w:r>
        <w:rPr/>
        <w:t xml:space="preserve">Creating a safe environment for children online</w:t>
      </w:r>
    </w:p>
    <w:p>
      <w:pPr>
        <w:pStyle w:val="Heading2"/>
      </w:pPr>
      <w:bookmarkStart w:id="14" w:name="_Toc15"/>
      <w:r>
        <w:t>Implications For Stakeholders About</w:t>
      </w:r>
      <w:bookmarkEnd w:id="14"/>
    </w:p>
    <w:p>
      <w:pPr/>
      <w:r>
        <w:rPr/>
        <w:t xml:space="preserve">Industry</w:t>
      </w:r>
    </w:p>
    <w:p>
      <w:pPr>
        <w:pStyle w:val="Heading1"/>
      </w:pPr>
      <w:bookmarkStart w:id="15" w:name="_Toc16"/>
      <w:r>
        <w:t>Abstract</w:t>
      </w:r>
      <w:bookmarkEnd w:id="15"/>
    </w:p>
    <w:p>
      <w:pPr/>
      <w:r>
        <w:rPr/>
        <w:t xml:space="preserve">•	Children are encountering continual technological innovation which brings new and complex risks and opportunities.
•	In an age of datafication, privacy is being reconfigured, with data protection regulation increasingly important in protecting privacy.
•	Existing research demonstrates that children develop their privacy-related awareness and desire for privacy as they grow older, especially in relation to institutional and commercial contexts for privacy.
•	Children care about their privacy online, and they want to be able to decide what information is shared and with whom.
•	Children engage in a wide range of strategies to keep their devices, online profiles and personal information safe from unwanted interference.
•	Children tend to think of privacy online in terms of e-safety, struggling to grasp the relation between privacy and data – hence only e-safety risks seem truly real.
•	It matters that children first learn about interpersonal privacy - extending interpersonal assumptions to institutional and commercial contexts leads to misunderstandings.
•	Children focus on data they know they give, much more than data that is taken or inferred – and they think all of it is ‘none of their business’.
•	Terminology misleads – they must give ‘consent’; businesses want their personal data; what’s deleted isn’t gone; private means friends can’t see but others can.
•	Children’s media literacy – especially their critical knowledge of the data ecology - plays an important part in how they can understand, manage and safeguard their privacy.
•	Understanding grows with experience, but there’s no ‘magic’ age of capacity.
•	Parents are confused and concerned, and like teachers, they want higher-level solutions; they can’t deal with online data and privacy alone.</w:t>
      </w:r>
    </w:p>
    <w:p>
      <w:pPr>
        <w:pStyle w:val="Heading1"/>
      </w:pPr>
      <w:bookmarkStart w:id="16" w:name="_Toc17"/>
      <w:r>
        <w:t>Outcome</w:t>
      </w:r>
      <w:bookmarkEnd w:id="16"/>
    </w:p>
    <w:p>
      <w:pPr/>
      <w:r>
        <w:rPr/>
        <w:t xml:space="preserve">See section 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58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2025-10-16T12:57:55+00:00</dcterms:created>
  <dcterms:modified xsi:type="dcterms:W3CDTF">2025-10-16T12:57:55+00:00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