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Symptoms of internet gaming disorder and parenting styles in Romanian adolescents</w:t>
      </w:r>
    </w:p>
    <w:p>
      <w:pPr>
        <w:pStyle w:val="Heading1"/>
      </w:pPr>
      <w:bookmarkStart w:id="1" w:name="_Toc2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internet gaming disorder</w:t>
      </w:r>
    </w:p>
    <w:p>
      <w:pPr>
        <w:numPr>
          <w:ilvl w:val="0"/>
          <w:numId w:val="5"/>
        </w:numPr>
      </w:pPr>
      <w:r>
        <w:rPr/>
        <w:t xml:space="preserve">parenting style</w:t>
      </w:r>
    </w:p>
    <w:p>
      <w:pPr>
        <w:numPr>
          <w:ilvl w:val="0"/>
          <w:numId w:val="5"/>
        </w:numPr>
      </w:pPr>
      <w:r>
        <w:rPr/>
        <w:t xml:space="preserve">problematic internet use</w:t>
      </w:r>
    </w:p>
    <w:p>
      <w:pPr>
        <w:pStyle w:val="Heading1"/>
      </w:pPr>
      <w:bookmarkStart w:id="2" w:name="_Toc3"/>
      <w:r>
        <w:t>Details</w:t>
      </w:r>
      <w:bookmarkEnd w:id="2"/>
    </w:p>
    <w:p>
      <w:pPr>
        <w:pStyle w:val="Heading2"/>
      </w:pPr>
      <w:bookmarkStart w:id="3" w:name="_Toc4"/>
      <w:r>
        <w:t>DOI</w:t>
      </w:r>
      <w:bookmarkEnd w:id="3"/>
    </w:p>
    <w:p>
      <w:pPr/>
      <w:r>
        <w:rPr/>
        <w:t xml:space="preserve">10.2298/psi190808008m</w:t>
      </w:r>
    </w:p>
    <w:p>
      <w:pPr>
        <w:pStyle w:val="Heading2"/>
      </w:pPr>
      <w:bookmarkStart w:id="4" w:name="_Toc5"/>
      <w:r>
        <w:t>Issued</w:t>
      </w:r>
      <w:bookmarkEnd w:id="4"/>
    </w:p>
    <w:p>
      <w:pPr/>
      <w:r>
        <w:rPr/>
        <w:t xml:space="preserve">2020</w:t>
      </w:r>
    </w:p>
    <w:p>
      <w:pPr>
        <w:pStyle w:val="Heading2"/>
      </w:pPr>
      <w:bookmarkStart w:id="5" w:name="_Toc6"/>
      <w:r>
        <w:t>Language</w:t>
      </w:r>
      <w:bookmarkEnd w:id="5"/>
    </w:p>
    <w:p>
      <w:pPr/>
      <w:r>
        <w:rPr/>
        <w:t xml:space="preserve">English</w:t>
      </w:r>
    </w:p>
    <w:p>
      <w:pPr>
        <w:pStyle w:val="Heading2"/>
      </w:pPr>
      <w:bookmarkStart w:id="6" w:name="_Toc7"/>
      <w:r>
        <w:t>Volume</w:t>
      </w:r>
      <w:bookmarkEnd w:id="6"/>
    </w:p>
    <w:p>
      <w:pPr/>
      <w:r>
        <w:rPr/>
        <w:t xml:space="preserve">53</w:t>
      </w:r>
    </w:p>
    <w:p>
      <w:pPr>
        <w:pStyle w:val="Heading2"/>
      </w:pPr>
      <w:bookmarkStart w:id="7" w:name="_Toc8"/>
      <w:r>
        <w:t>Issue</w:t>
      </w:r>
      <w:bookmarkEnd w:id="7"/>
    </w:p>
    <w:p>
      <w:pPr/>
      <w:r>
        <w:rPr/>
        <w:t xml:space="preserve">3</w:t>
      </w:r>
    </w:p>
    <w:p>
      <w:pPr>
        <w:pStyle w:val="Heading2"/>
      </w:pPr>
      <w:bookmarkStart w:id="8" w:name="_Toc9"/>
      <w:r>
        <w:t>Start Page</w:t>
      </w:r>
      <w:bookmarkEnd w:id="8"/>
    </w:p>
    <w:p>
      <w:pPr>
        <w:pStyle w:val="Heading2"/>
      </w:pPr>
      <w:bookmarkStart w:id="9" w:name="_Toc10"/>
      <w:r>
        <w:t>End Page</w:t>
      </w:r>
      <w:bookmarkEnd w:id="9"/>
    </w:p>
    <w:p>
      <w:pPr>
        <w:pStyle w:val="Heading2"/>
      </w:pPr>
      <w:bookmarkStart w:id="10" w:name="_Toc11"/>
      <w:r>
        <w:t>Authors</w:t>
      </w:r>
      <w:bookmarkEnd w:id="10"/>
    </w:p>
    <w:p>
      <w:pPr/>
      <w:r>
        <w:rPr/>
        <w:t xml:space="preserve">Maftei A.;Enea V.</w:t>
      </w:r>
    </w:p>
    <w:p>
      <w:pPr>
        <w:pStyle w:val="Heading2"/>
      </w:pPr>
      <w:bookmarkStart w:id="11" w:name="_Toc12"/>
      <w:r>
        <w:t>Type</w:t>
      </w:r>
      <w:bookmarkEnd w:id="11"/>
    </w:p>
    <w:p>
      <w:pPr/>
      <w:r>
        <w:rPr/>
        <w:t xml:space="preserve">Journal article</w:t>
      </w:r>
    </w:p>
    <w:p>
      <w:pPr>
        <w:pStyle w:val="Heading2"/>
      </w:pPr>
      <w:bookmarkStart w:id="12" w:name="_Toc13"/>
      <w:r>
        <w:t>Journal</w:t>
      </w:r>
      <w:bookmarkEnd w:id="12"/>
    </w:p>
    <w:p>
      <w:pPr/>
      <w:r>
        <w:rPr/>
        <w:t xml:space="preserve">Psihologija</w:t>
      </w:r>
    </w:p>
    <w:p>
      <w:pPr>
        <w:pStyle w:val="Heading2"/>
      </w:pPr>
      <w:bookmarkStart w:id="13" w:name="_Toc14"/>
      <w:r>
        <w:t>Publisher</w:t>
      </w:r>
      <w:bookmarkEnd w:id="13"/>
    </w:p>
    <w:p>
      <w:pPr/>
      <w:r>
        <w:rPr/>
        <w:t xml:space="preserve">National Library of Serbia</w:t>
      </w:r>
    </w:p>
    <w:p>
      <w:pPr>
        <w:pStyle w:val="Heading2"/>
      </w:pPr>
      <w:bookmarkStart w:id="14" w:name="_Toc15"/>
      <w:r>
        <w:t>Topics</w:t>
      </w:r>
      <w:bookmarkEnd w:id="14"/>
    </w:p>
    <w:p>
      <w:pPr>
        <w:numPr>
          <w:ilvl w:val="0"/>
          <w:numId w:val="5"/>
        </w:numPr>
      </w:pPr>
      <w:r>
        <w:rPr/>
        <w:t xml:space="preserve">Wellbeing</w:t>
      </w:r>
    </w:p>
    <w:p>
      <w:pPr>
        <w:numPr>
          <w:ilvl w:val="0"/>
          <w:numId w:val="5"/>
        </w:numPr>
      </w:pPr>
      <w:r>
        <w:rPr/>
        <w:t xml:space="preserve">Risks and harms</w:t>
      </w:r>
    </w:p>
    <w:p>
      <w:pPr>
        <w:numPr>
          <w:ilvl w:val="0"/>
          <w:numId w:val="5"/>
        </w:numPr>
      </w:pPr>
      <w:r>
        <w:rPr/>
        <w:t xml:space="preserve">Social mediation</w:t>
      </w:r>
    </w:p>
    <w:p>
      <w:pPr>
        <w:pStyle w:val="Heading2"/>
      </w:pPr>
      <w:bookmarkStart w:id="15" w:name="_Toc16"/>
      <w:r>
        <w:t>Sample</w:t>
      </w:r>
      <w:bookmarkEnd w:id="15"/>
    </w:p>
    <w:p>
      <w:pPr/>
      <w:r>
        <w:rPr/>
        <w:t xml:space="preserve">sample of 278 Romanian early adolescents (aged 10 to 14, 52.5% females) and their parents</w:t>
      </w:r>
    </w:p>
    <w:p>
      <w:pPr>
        <w:pStyle w:val="Heading2"/>
      </w:pPr>
      <w:bookmarkStart w:id="16" w:name="_Toc17"/>
      <w:r>
        <w:t>Implications For Parents About</w:t>
      </w:r>
      <w:bookmarkEnd w:id="16"/>
    </w:p>
    <w:p>
      <w:pPr/>
      <w:r>
        <w:rPr/>
        <w:t xml:space="preserve">Parental practices / parental mediation</w:t>
      </w:r>
    </w:p>
    <w:p>
      <w:pPr>
        <w:pStyle w:val="Heading1"/>
      </w:pPr>
      <w:bookmarkStart w:id="17" w:name="_Toc18"/>
      <w:r>
        <w:t>Abstract</w:t>
      </w:r>
      <w:bookmarkEnd w:id="17"/>
    </w:p>
    <w:p>
      <w:pPr/>
      <w:r>
        <w:rPr/>
        <w:t xml:space="preserve">Online video gaming has been endorsed as a potential addictive behavior with negative psychological and functional consequences and has been extensively studied among adolescents and young individuals. The aim of this cross-sectional study was to estimate the prevalence of symptoms of the Internet Gaming Disorder (IGD) in a sample of 278 Romanian early adolescents (aged 10 to 14, 52.5% females) and their parents, and to examine the role of parental styles of parents in predicting the symptoms of IGD in their children. Statistical analyses showed that 31 (22%) adolescents had clinically relevant symptoms of IGD. A logistic regression model revealed that a dominant permissive style of parents was substantially related to symptoms of IGD in their children. Findings highlight a strong correlation between parenting styles and symptoms of IGD, emphasizing the importance of parental involvement in both the prevention and development of IGD in early adolescence.</w:t>
      </w:r>
    </w:p>
    <w:p>
      <w:pPr>
        <w:pStyle w:val="Heading1"/>
      </w:pPr>
      <w:bookmarkStart w:id="18" w:name="_Toc19"/>
      <w:r>
        <w:t>Outcome</w:t>
      </w:r>
      <w:bookmarkEnd w:id="18"/>
    </w:p>
    <w:p>
      <w:pPr/>
      <w:r>
        <w:rPr/>
        <w:t xml:space="preserve">"Statistical analyses showed that 31 (22%) adolescents had clinically relevant symptoms of IGD. A logistic regression model revealed that a dominant permissive style of parents was substantially related to symptoms of IGD in their children. Findings highlight a strong correlation between parenting styles and symptoms of IGD, emphasizing the importance of parental involvement in both the prevention and development of IGD in early adolescence."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CA5C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2025-10-19T17:23:33+00:00</dcterms:created>
  <dcterms:modified xsi:type="dcterms:W3CDTF">2025-10-19T17:23:33+00:00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