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Riscuri și oportunități în folosirea internetului mobil de către copiii din România. Raportul proiectului Net Children Go Mobile</w:t>
      </w:r>
    </w:p>
    <w:p>
      <w:pPr>
        <w:pStyle w:val="Title"/>
      </w:pPr>
      <w:r>
        <w:t>Engl. transl.: Risks and opportunities in Romanian children's us of the mobile internet. The report of the Net Children Go Mobile project</w:t>
      </w:r>
    </w:p>
    <w:p>
      <w:pPr>
        <w:pStyle w:val="Heading1"/>
      </w:pPr>
      <w:bookmarkStart w:id="1" w:name="_Toc3"/>
      <w:r>
        <w:t>Details</w:t>
      </w:r>
      <w:bookmarkEnd w:id="1"/>
    </w:p>
    <w:p>
      <w:pPr>
        <w:pStyle w:val="Heading2"/>
      </w:pPr>
      <w:bookmarkStart w:id="2" w:name="_Toc4"/>
      <w:r>
        <w:t>Year</w:t>
      </w:r>
      <w:bookmarkEnd w:id="2"/>
    </w:p>
    <w:p>
      <w:pPr/>
      <w:r>
        <w:rPr/>
        <w:t xml:space="preserve">2014</w:t>
      </w:r>
    </w:p>
    <w:p>
      <w:pPr>
        <w:pStyle w:val="Heading2"/>
      </w:pPr>
      <w:bookmarkStart w:id="3" w:name="_Toc5"/>
      <w:r>
        <w:t>Issued</w:t>
      </w:r>
      <w:bookmarkEnd w:id="3"/>
    </w:p>
    <w:p>
      <w:pPr/>
      <w:r>
        <w:rPr/>
        <w:t xml:space="preserve">2014</w:t>
      </w:r>
    </w:p>
    <w:p>
      <w:pPr>
        <w:pStyle w:val="Heading2"/>
      </w:pPr>
      <w:bookmarkStart w:id="4" w:name="_Toc6"/>
      <w:r>
        <w:t>Language</w:t>
      </w:r>
      <w:bookmarkEnd w:id="4"/>
    </w:p>
    <w:p>
      <w:pPr/>
      <w:r>
        <w:rPr/>
        <w:t xml:space="preserve">Romanian</w:t>
      </w:r>
    </w:p>
    <w:p>
      <w:pPr>
        <w:pStyle w:val="Heading2"/>
      </w:pPr>
      <w:bookmarkStart w:id="5" w:name="_Toc7"/>
      <w:r>
        <w:t>Authors</w:t>
      </w:r>
      <w:bookmarkEnd w:id="5"/>
    </w:p>
    <w:p>
      <w:pPr/>
      <w:r>
        <w:rPr/>
        <w:t xml:space="preserve">Velicu A.;Mascheroni G.;Ólafsson K.</w:t>
      </w:r>
    </w:p>
    <w:p>
      <w:pPr>
        <w:pStyle w:val="Heading2"/>
      </w:pPr>
      <w:bookmarkStart w:id="6" w:name="_Toc8"/>
      <w:r>
        <w:t>Type</w:t>
      </w:r>
      <w:bookmarkEnd w:id="6"/>
    </w:p>
    <w:p>
      <w:pPr/>
      <w:r>
        <w:rPr/>
        <w:t xml:space="preserve">Report and working paper</w:t>
      </w:r>
    </w:p>
    <w:p>
      <w:pPr>
        <w:pStyle w:val="Heading2"/>
      </w:pPr>
      <w:bookmarkStart w:id="7" w:name="_Toc9"/>
      <w:r>
        <w:t>Publisher</w:t>
      </w:r>
      <w:bookmarkEnd w:id="7"/>
    </w:p>
    <w:p>
      <w:pPr/>
      <w:r>
        <w:rPr/>
        <w:t xml:space="preserve">Net Children Go Mobile</w:t>
      </w:r>
    </w:p>
    <w:p>
      <w:pPr>
        <w:pStyle w:val="Heading2"/>
      </w:pPr>
      <w:bookmarkStart w:id="8" w:name="_Toc10"/>
      <w:r>
        <w:t>Topics</w:t>
      </w:r>
      <w:bookmarkEnd w:id="8"/>
    </w:p>
    <w:p>
      <w:pPr>
        <w:numPr>
          <w:ilvl w:val="0"/>
          <w:numId w:val="5"/>
        </w:numPr>
      </w:pPr>
      <w:r>
        <w:rPr/>
        <w:t xml:space="preserve">Internet usage, practices and engagement</w:t>
      </w:r>
    </w:p>
    <w:p>
      <w:pPr>
        <w:numPr>
          <w:ilvl w:val="0"/>
          <w:numId w:val="5"/>
        </w:numPr>
      </w:pPr>
      <w:r>
        <w:rPr/>
        <w:t xml:space="preserve">Social mediation</w:t>
      </w:r>
    </w:p>
    <w:p>
      <w:pPr>
        <w:numPr>
          <w:ilvl w:val="0"/>
          <w:numId w:val="5"/>
        </w:numPr>
      </w:pPr>
      <w:r>
        <w:rPr/>
        <w:t xml:space="preserve">Literacy and skills</w:t>
      </w:r>
    </w:p>
    <w:p>
      <w:pPr>
        <w:numPr>
          <w:ilvl w:val="0"/>
          <w:numId w:val="5"/>
        </w:numPr>
      </w:pPr>
      <w:r>
        <w:rPr/>
        <w:t xml:space="preserve">Risks and harms</w:t>
      </w:r>
    </w:p>
    <w:p>
      <w:pPr>
        <w:pStyle w:val="Heading2"/>
      </w:pPr>
      <w:bookmarkStart w:id="9" w:name="_Toc11"/>
      <w:r>
        <w:t>Sample</w:t>
      </w:r>
      <w:bookmarkEnd w:id="9"/>
    </w:p>
    <w:p>
      <w:pPr/>
      <w:r>
        <w:rPr/>
        <w:t xml:space="preserve">The Romanian sample of the Net Children Go Mobile project; 500 children, 9-16 years old</w:t>
      </w:r>
    </w:p>
    <w:p>
      <w:pPr>
        <w:pStyle w:val="Heading1"/>
      </w:pPr>
      <w:bookmarkStart w:id="10" w:name="_Toc12"/>
      <w:r>
        <w:t>Abstract</w:t>
      </w:r>
      <w:bookmarkEnd w:id="10"/>
    </w:p>
    <w:p>
      <w:pPr/>
      <w:r>
        <w:rPr/>
        <w:t xml:space="preserve"/>
      </w:r>
    </w:p>
    <w:p>
      <w:pPr>
        <w:pStyle w:val="Heading1"/>
      </w:pPr>
      <w:bookmarkStart w:id="11" w:name="_Toc13"/>
      <w:r>
        <w:t>Outcome</w:t>
      </w:r>
      <w:bookmarkEnd w:id="11"/>
    </w:p>
    <w:p>
      <w:pPr/>
      <w:r>
        <w:rPr/>
        <w:t xml:space="preserve">“74% of Romanian children use the mobile internet daily from home (their own bedroom or a shared space of the household). Thus, despite the fact that smartphones allow the access to the internet when one is out of home, in fact the Romanian children use it more when at home. On average, Romanian children declare having 5.5 digital skills out of 12 measured. These digital skills vary with children’s age. Children who use the mobile internet have more digital skills than those who do not.” (Velicu et al., 2014, coder’s translation)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14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D0B0D2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2025-10-14T04:52:52+00:00</dcterms:created>
  <dcterms:modified xsi:type="dcterms:W3CDTF">2025-10-14T04:52:52+00:00</dcterms:modified>
</cp:coreProperties>
</file>

<file path=docProps/custom.xml><?xml version="1.0" encoding="utf-8"?>
<Properties xmlns="http://schemas.openxmlformats.org/officeDocument/2006/custom-properties" xmlns:vt="http://schemas.openxmlformats.org/officeDocument/2006/docPropsVTypes"/>
</file>