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Privatization of Age Classification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10.14361/9783839439340-008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2018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Start Page</w:t>
      </w:r>
      <w:bookmarkEnd w:id="6"/>
    </w:p>
    <w:p>
      <w:pPr>
        <w:pStyle w:val="Heading2"/>
      </w:pPr>
      <w:bookmarkStart w:id="7" w:name="_Toc8"/>
      <w:r>
        <w:t>End Page</w:t>
      </w:r>
      <w:bookmarkEnd w:id="7"/>
    </w:p>
    <w:p>
      <w:pPr>
        <w:pStyle w:val="Heading2"/>
      </w:pPr>
      <w:bookmarkStart w:id="8" w:name="_Toc9"/>
      <w:r>
        <w:t>Editors</w:t>
      </w:r>
      <w:bookmarkEnd w:id="8"/>
    </w:p>
    <w:p>
      <w:pPr/>
      <w:r>
        <w:rPr/>
        <w:t xml:space="preserve"> Sörensen E. </w:t>
      </w:r>
    </w:p>
    <w:p>
      <w:pPr>
        <w:pStyle w:val="Heading2"/>
      </w:pPr>
      <w:bookmarkStart w:id="9" w:name="_Toc10"/>
      <w:r>
        <w:t>Authors</w:t>
      </w:r>
      <w:bookmarkEnd w:id="9"/>
    </w:p>
    <w:p>
      <w:pPr/>
      <w:r>
        <w:rPr/>
        <w:t xml:space="preserve">Thorhauge A.M.</w:t>
      </w:r>
    </w:p>
    <w:p>
      <w:pPr>
        <w:pStyle w:val="Heading2"/>
      </w:pPr>
      <w:bookmarkStart w:id="10" w:name="_Toc11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2"/>
      <w:r>
        <w:t>Book title</w:t>
      </w:r>
      <w:bookmarkEnd w:id="11"/>
    </w:p>
    <w:p>
      <w:pPr/>
      <w:r>
        <w:rPr/>
        <w:t xml:space="preserve">Cultures of Computer Game Concerns. The Child Across Families, Law, Science and Industry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Cultures of Computer Game Concerns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transcript Verlag</w:t>
      </w:r>
    </w:p>
    <w:p>
      <w:pPr>
        <w:pStyle w:val="Heading2"/>
      </w:pPr>
      <w:bookmarkStart w:id="14" w:name="_Toc15"/>
      <w:r>
        <w:t>Topics</w:t>
      </w:r>
      <w:bookmarkEnd w:id="14"/>
    </w:p>
    <w:p>
      <w:pPr/>
      <w:r>
        <w:rPr/>
        <w:t xml:space="preserve">Content-related issues</w:t>
      </w:r>
    </w:p>
    <w:p>
      <w:pPr>
        <w:pStyle w:val="Heading1"/>
      </w:pPr>
      <w:bookmarkStart w:id="15" w:name="_Toc16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7"/>
      <w:r>
        <w:t>Outcome</w:t>
      </w:r>
      <w:bookmarkEnd w:id="16"/>
    </w:p>
    <w:p>
      <w:pPr/>
      <w:r>
        <w:rPr/>
        <w:t xml:space="preserve">"this chapter is initiated with questioning age classification as a universal tool for regulating media content and protecting mi-nors.  This  is  not  to  write  off  age  classification  altogether,  but  to  emphasise  that  age classification applied indiscriminately and irrespectively of the genre and con-text of communication, may end up being in conflict with basic democratic values such  as  the  free  democratic  deliberation  open  to  all." (p. 145)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2025-10-21T01:57:05+00:00</dcterms:created>
  <dcterms:modified xsi:type="dcterms:W3CDTF">2025-10-21T01:57:05+00:00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