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framework for the future: When Kindergartens Go Online</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Issued</w:t>
      </w:r>
      <w:bookmarkEnd w:id="3"/>
    </w:p>
    <w:p>
      <w:pPr/>
      <w:r>
        <w:rPr/>
        <w:t xml:space="preserve">2015</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Kotilainen S.; Kupiainen R.</w:t>
      </w:r>
    </w:p>
    <w:p>
      <w:pPr>
        <w:pStyle w:val="Heading2"/>
      </w:pPr>
      <w:bookmarkStart w:id="8" w:name="_Toc9"/>
      <w:r>
        <w:t>Authors</w:t>
      </w:r>
      <w:bookmarkEnd w:id="8"/>
    </w:p>
    <w:p>
      <w:pPr/>
      <w:r>
        <w:rPr/>
        <w:t xml:space="preserve">Thestrup K.</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Reflections on media education futures : Contributions to the conference media education futures in Tampere, Finland 2014</w:t>
      </w:r>
    </w:p>
    <w:p>
      <w:pPr>
        <w:pStyle w:val="Heading2"/>
      </w:pPr>
      <w:bookmarkStart w:id="11" w:name="_Toc12"/>
      <w:r>
        <w:t>Publisher</w:t>
      </w:r>
      <w:bookmarkEnd w:id="11"/>
    </w:p>
    <w:p>
      <w:pPr/>
      <w:r>
        <w:rPr/>
        <w:t xml:space="preserve">The International Clearinghouse on Children, Youth and Media at NORDICOM</w:t>
      </w:r>
    </w:p>
    <w:p>
      <w:pPr>
        <w:pStyle w:val="Heading2"/>
      </w:pPr>
      <w:bookmarkStart w:id="12" w:name="_Toc13"/>
      <w:r>
        <w:t>Place</w:t>
      </w:r>
      <w:bookmarkEnd w:id="12"/>
    </w:p>
    <w:p>
      <w:pPr/>
      <w:r>
        <w:rPr/>
        <w:t xml:space="preserve">Göteborg</w:t>
      </w:r>
    </w:p>
    <w:p>
      <w:pPr>
        <w:pStyle w:val="Heading2"/>
      </w:pPr>
      <w:bookmarkStart w:id="13" w:name="_Toc14"/>
      <w:r>
        <w:t>Topics</w:t>
      </w:r>
      <w:bookmarkEnd w:id="13"/>
    </w:p>
    <w:p>
      <w:pPr>
        <w:pStyle w:val="Heading2"/>
      </w:pPr>
      <w:bookmarkStart w:id="14" w:name="_Toc15"/>
      <w:r>
        <w:t>Sample</w:t>
      </w:r>
      <w:bookmarkEnd w:id="14"/>
    </w:p>
    <w:p>
      <w:pPr/>
      <w:r>
        <w:rPr/>
        <w:t xml:space="preserve">"The children involved are aged three and six years, and digital media such as Facebook, Skype, Instagram, Google Images and YouTube naturally play an important part in this work. On the hardware side, it incorporates a mix of laptops, printers, cameras and tablets. The project began in November 2011, and is developing through a number of smaller subprojects taking place at different kindergartens." (p. 247)</w:t>
      </w:r>
    </w:p>
    <w:p>
      <w:pPr>
        <w:pStyle w:val="Heading2"/>
      </w:pPr>
      <w:bookmarkStart w:id="15" w:name="_Toc16"/>
      <w:r>
        <w:t>Implications For Educators About</w:t>
      </w:r>
      <w:bookmarkEnd w:id="15"/>
    </w:p>
    <w:p>
      <w:pPr/>
      <w:r>
        <w:rPr/>
        <w:t xml:space="preserve">Digital citizenship</w:t>
      </w:r>
    </w:p>
    <w:p>
      <w:pPr>
        <w:pStyle w:val="Heading1"/>
      </w:pPr>
      <w:bookmarkStart w:id="16" w:name="_Toc17"/>
      <w:r>
        <w:t>Abstract</w:t>
      </w:r>
      <w:bookmarkEnd w:id="16"/>
    </w:p>
    <w:p>
      <w:pPr/>
      <w:r>
        <w:rPr/>
        <w:t xml:space="preserve"/>
      </w:r>
    </w:p>
    <w:p>
      <w:pPr>
        <w:pStyle w:val="Heading1"/>
      </w:pPr>
      <w:bookmarkStart w:id="17" w:name="_Toc18"/>
      <w:r>
        <w:t>Outcome</w:t>
      </w:r>
      <w:bookmarkEnd w:id="17"/>
    </w:p>
    <w:p>
      <w:pPr/>
      <w:r>
        <w:rPr/>
        <w:t xml:space="preserve">A framework for how to facilitate and communicate mediaplay and a global outlook in kindergartens in order acquire Digital World Citizen Competences.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2025-10-29T03:43:47+00:00</dcterms:created>
  <dcterms:modified xsi:type="dcterms:W3CDTF">2025-10-29T03:43:47+00:00</dcterms:modified>
</cp:coreProperties>
</file>

<file path=docProps/custom.xml><?xml version="1.0" encoding="utf-8"?>
<Properties xmlns="http://schemas.openxmlformats.org/officeDocument/2006/custom-properties" xmlns:vt="http://schemas.openxmlformats.org/officeDocument/2006/docPropsVTypes"/>
</file>