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Making the child-computer interaction field grow up</w:t>
      </w:r>
    </w:p>
    <w:p>
      <w:pPr>
        <w:pStyle w:val="Heading1"/>
      </w:pPr>
      <w:bookmarkStart w:id="1" w:name="_Toc2"/>
      <w:r>
        <w:t>Details</w:t>
      </w:r>
      <w:bookmarkEnd w:id="1"/>
    </w:p>
    <w:p>
      <w:pPr>
        <w:pStyle w:val="Heading2"/>
      </w:pPr>
      <w:bookmarkStart w:id="2" w:name="_Toc3"/>
      <w:r>
        <w:t>DOI</w:t>
      </w:r>
      <w:bookmarkEnd w:id="2"/>
    </w:p>
    <w:p>
      <w:pPr/>
      <w:r>
        <w:rPr/>
        <w:t xml:space="preserve">10.1145/3310253</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26</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Torgersson O.;Bekker T.;Barendregt W.;Eriksson E.;Frauenberger C.</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Interactions</w:t>
      </w:r>
    </w:p>
    <w:p>
      <w:pPr>
        <w:pStyle w:val="Heading2"/>
      </w:pPr>
      <w:bookmarkStart w:id="12" w:name="_Toc13"/>
      <w:r>
        <w:t>Publisher</w:t>
      </w:r>
      <w:bookmarkEnd w:id="12"/>
    </w:p>
    <w:p>
      <w:pPr/>
      <w:r>
        <w:rPr/>
        <w:t xml:space="preserve">Association for Computing Machinery (ACM)</w:t>
      </w:r>
    </w:p>
    <w:p>
      <w:pPr>
        <w:pStyle w:val="Heading2"/>
      </w:pPr>
      <w:bookmarkStart w:id="13" w:name="_Toc14"/>
      <w:r>
        <w:t>Topics</w:t>
      </w:r>
      <w:bookmarkEnd w:id="13"/>
    </w:p>
    <w:p>
      <w:pPr/>
      <w:r>
        <w:rPr/>
        <w:t xml:space="preserve">Researching children online: methodology and ethics</w:t>
      </w:r>
    </w:p>
    <w:p>
      <w:pPr>
        <w:pStyle w:val="Heading2"/>
      </w:pPr>
      <w:bookmarkStart w:id="14" w:name="_Toc15"/>
      <w:r>
        <w:t>Sample</w:t>
      </w:r>
      <w:bookmarkEnd w:id="14"/>
    </w:p>
    <w:p>
      <w:pPr/>
      <w:r>
        <w:rPr/>
        <w:t xml:space="preserve">Workshop at IDC 2018 in Trondheim; "Intermediate-Level Knowledge in Child-Computer Interaction" for 
fifteen researchers and designers and people in the field of design research.</w:t>
      </w:r>
    </w:p>
    <w:p>
      <w:pPr>
        <w:pStyle w:val="Heading2"/>
      </w:pPr>
      <w:bookmarkStart w:id="15" w:name="_Toc16"/>
      <w:r>
        <w:t>Implications For Stakeholders About</w:t>
      </w:r>
      <w:bookmarkEnd w:id="15"/>
    </w:p>
    <w:p>
      <w:pPr>
        <w:pStyle w:val="Heading2"/>
      </w:pPr>
      <w:bookmarkStart w:id="16" w:name="_Toc17"/>
      <w:r>
        <w:t>Other Stakeholder Implication</w:t>
      </w:r>
      <w:bookmarkEnd w:id="16"/>
    </w:p>
    <w:p>
      <w:pPr/>
      <w:r>
        <w:rPr/>
        <w:t xml:space="preserve">designers</w:t>
      </w:r>
    </w:p>
    <w:p>
      <w:pPr>
        <w:pStyle w:val="Heading1"/>
      </w:pPr>
      <w:bookmarkStart w:id="17" w:name="_Toc18"/>
      <w:r>
        <w:t>Abstract</w:t>
      </w:r>
      <w:bookmarkEnd w:id="17"/>
    </w:p>
    <w:p>
      <w:pPr/>
      <w:r>
        <w:rPr/>
        <w:t xml:space="preserve">Child-computer interaction (CCI) as a specialized field within human-computer interaction (HCI) has developed gradually, from the early works of Seymour Papert and Mitchel Resnick at MIT to the more recent and substantial work by key people such as Allison Druin, Yvonne Rogers, and Mike Scaife. However, a major milestone for the field was the establishment of the annual conference series Interaction Design and Children (IDC) in Eindhoven in 2002</w:t>
      </w:r>
    </w:p>
    <w:p>
      <w:pPr>
        <w:pStyle w:val="Heading1"/>
      </w:pPr>
      <w:bookmarkStart w:id="18" w:name="_Toc19"/>
      <w:r>
        <w:t>Outcome</w:t>
      </w:r>
      <w:bookmarkEnd w:id="18"/>
    </w:p>
    <w:p>
      <w:pPr/>
      <w:r>
        <w:rPr/>
        <w:t xml:space="preserve">"We concluded in the workshop that CCI is still in its infancy and that one of the central means to mature the field is engaging in the debate about knowledge representations and internal rigor" (p. 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2025-10-22T02:47:03+00:00</dcterms:created>
  <dcterms:modified xsi:type="dcterms:W3CDTF">2025-10-22T02:47:03+00:00</dcterms:modified>
</cp:coreProperties>
</file>

<file path=docProps/custom.xml><?xml version="1.0" encoding="utf-8"?>
<Properties xmlns="http://schemas.openxmlformats.org/officeDocument/2006/custom-properties" xmlns:vt="http://schemas.openxmlformats.org/officeDocument/2006/docPropsVTypes"/>
</file>