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Phenomenographic Study of Adolescents’ Conceptions of Health Information Appraisal as a Critical Component of Adolescent Health Literacy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10.15388/actpaed.44.5</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Stars I.;Rubene Z.</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Acta Paedagogica Vilnensia</w:t>
      </w:r>
    </w:p>
    <w:p>
      <w:pPr>
        <w:pStyle w:val="Heading2"/>
      </w:pPr>
      <w:bookmarkStart w:id="12" w:name="_Toc13"/>
      <w:r>
        <w:t>Publisher</w:t>
      </w:r>
      <w:bookmarkEnd w:id="12"/>
    </w:p>
    <w:p>
      <w:pPr/>
      <w:r>
        <w:rPr/>
        <w:t xml:space="preserve">Vilnius University Press</w:t>
      </w:r>
    </w:p>
    <w:p>
      <w:pPr>
        <w:pStyle w:val="Heading2"/>
      </w:pPr>
      <w:bookmarkStart w:id="13" w:name="_Toc14"/>
      <w:r>
        <w:t>Sample</w:t>
      </w:r>
      <w:bookmarkEnd w:id="13"/>
    </w:p>
    <w:p>
      <w:pPr/>
      <w:r>
        <w:rPr/>
        <w:t xml:space="preserve">A purposive, maximum variation sampling was used, and 24 adolescents were recruited to take part in the study, ranging from 13 to 16 year-olds.</w:t>
      </w:r>
    </w:p>
    <w:p>
      <w:pPr>
        <w:pStyle w:val="Heading1"/>
      </w:pPr>
      <w:bookmarkStart w:id="14" w:name="_Toc15"/>
      <w:r>
        <w:t>Abstract</w:t>
      </w:r>
      <w:bookmarkEnd w:id="14"/>
    </w:p>
    <w:p>
      <w:pPr/>
      <w:r>
        <w:rPr/>
        <w:t xml:space="preserve">This paper reports on a health literacy study that explored adolescents’ conceptualizations of health information appraisal as a social practice in Latvia. The study was guided by phenomenography, a qualitative research approach used to describe people’s conceptions of a particular phenomenon. A purposive, maximum variation sampling was used, and 24 adolescents were recruited to take part in the study, ranging from 13 to 16 year-olds. Semi-structured interviews were undertaken for data collection. A phenomenographic method for data analysis was performed using the guidelines proved by Sandberg. The data analysis presented seven categories of description and an outcome space representing the adolescents’ qualitatively different conceptions of health information appraisal. The implications for health education in school are discussed.</w:t>
      </w:r>
    </w:p>
    <w:p>
      <w:pPr>
        <w:pStyle w:val="Heading1"/>
      </w:pPr>
      <w:bookmarkStart w:id="15" w:name="_Toc16"/>
      <w:r>
        <w:t>Outcome</w:t>
      </w:r>
      <w:bookmarkEnd w:id="15"/>
    </w:p>
    <w:p>
      <w:pPr/>
      <w:r>
        <w:rPr/>
        <w:t xml:space="preserve">In sum, adolescents perceived health information appraisal as a beneficial activity 
that demands thinking, reflecting and doubting. Correspondingly, adolescents saw health 
information appraisal as being performed by identifying characteristics of information, 
comparing information, using prior knowledge, seeking help from others, and not 
knowing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2025-11-02T14:09:23+00:00</dcterms:created>
  <dcterms:modified xsi:type="dcterms:W3CDTF">2025-11-02T14:09:23+00:00</dcterms:modified>
</cp:coreProperties>
</file>

<file path=docProps/custom.xml><?xml version="1.0" encoding="utf-8"?>
<Properties xmlns="http://schemas.openxmlformats.org/officeDocument/2006/custom-properties" xmlns:vt="http://schemas.openxmlformats.org/officeDocument/2006/docPropsVTypes"/>
</file>