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The Use of Learning Technologies and Student Engagement in Learning Activities</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DOI</w:t></w:r><w:bookmarkEnd w:id="3"/></w:p><w:p><w:pPr/><w:r><w:rPr/><w:t xml:space="preserve">10.18261/issn.1891-943x-2018-02-04</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Volume</w:t></w:r><w:bookmarkEnd w:id="6"/></w:p><w:p><w:pPr/><w:r><w:rPr/><w:t xml:space="preserve">13</w:t></w:r></w:p><w:p><w:pPr><w:pStyle w:val="Heading2"/></w:pPr><w:bookmarkStart w:id="7" w:name="_Toc8"/><w:r><w:t>Issue</w:t></w:r><w:bookmarkEnd w:id="7"/></w:p><w:p><w:pPr/><w:r><w:rPr/><w:t xml:space="preserve">02</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Bergdahl N.;Fors U.;Hernwall P.;Knutsson O.</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Nordic Journal of Digital Literacy</w:t></w:r></w:p><w:p><w:pPr><w:pStyle w:val="Heading2"/></w:pPr><w:bookmarkStart w:id="13" w:name="_Toc14"/><w:r><w:t>Publisher</w:t></w:r><w:bookmarkEnd w:id="13"/></w:p><w:p><w:pPr/><w:r><w:rPr/><w:t xml:space="preserve">Scandinavian University Press / Universitetsforlaget AS</w:t></w:r></w:p><w:p><w:pPr><w:pStyle w:val="Heading2"/></w:pPr><w:bookmarkStart w:id="14" w:name="_Toc15"/><w:r><w:t>Topics</w:t></w:r><w:bookmarkEnd w:id="14"/></w:p><w:p><w:pPr><w:numPr><w:ilvl w:val="0"/><w:numId w:val="5"/></w:numPr></w:pPr><w:r><w:rPr/><w:t xml:space="preserve">Learning</w:t></w:r></w:p><w:p><w:pPr><w:numPr><w:ilvl w:val="0"/><w:numId w:val="5"/></w:numPr></w:pPr><w:r><w:rPr/><w:t xml:space="preserve">Literacy and skills</w:t></w:r></w:p><w:p><w:pPr><w:numPr><w:ilvl w:val="0"/><w:numId w:val="5"/></w:numPr></w:pPr><w:r><w:rPr/><w:t xml:space="preserve">Internet usage, practices and engagement</w:t></w:r></w:p><w:p><w:pPr><w:numPr><w:ilvl w:val="0"/><w:numId w:val="5"/></w:numPr></w:pPr><w:r><w:rPr/><w:t xml:space="preserve">Digital and socio-cultural environment</w:t></w:r></w:p><w:p><w:pPr><w:pStyle w:val="Heading2"/></w:pPr><w:bookmarkStart w:id="15" w:name="_Toc16"/><w:r><w:t>Sample</w:t></w:r><w:bookmarkEnd w:id="15"/></w:p><w:p><w:pPr/><w:r><w:rPr/><w:t xml:space="preserve">Four upper secondary school students in one school in Stockholm, Sweden. The students (aged 17) were in the second year of the Media & Information Technology program.</w:t></w:r></w:p><w:p><w:pPr><w:pStyle w:val="Heading2"/></w:pPr><w:bookmarkStart w:id="16" w:name="_Toc17"/><w:r><w:t>Implications For Educators About</w:t></w:r><w:bookmarkEnd w:id="16"/></w:p><w:p><w:pPr><w:numPr><w:ilvl w:val="0"/><w:numId w:val="5"/></w:numPr></w:pPr><w:r><w:rPr/><w:t xml:space="preserve">STEM Education</w:t></w:r></w:p><w:p><w:pPr><w:numPr><w:ilvl w:val="0"/><w:numId w:val="5"/></w:numPr></w:pPr><w:r><w:rPr/><w:t xml:space="preserve">School innovation</w:t></w:r></w:p><w:p><w:pPr><w:numPr><w:ilvl w:val="0"/><w:numId w:val="5"/></w:numPr></w:pPr><w:r><w:rPr/><w:t xml:space="preserve">Other</w:t></w:r></w:p><w:p><w:pPr><w:pStyle w:val="Heading1"/></w:pPr><w:bookmarkStart w:id="17" w:name="_Toc18"/><w:r><w:t>Abstract</w:t></w:r><w:bookmarkEnd w:id="17"/></w:p><w:p><w:pPr/><w:r><w:rPr/><w:t xml:space="preserve">As digitalisation spreads in education, it is vital to understand its relation to student engagement. We used student diaries and observation data to approach student engagement and explore the use of learning technologies on a lesson-to-lesson basis. Results show that a less thought-through use of technologies might lead to unconsidered effects. Positive indicators of the facilitation of student engagement included making the learning process accessible and visible to teachers.</w:t></w:r></w:p><w:p><w:pPr><w:pStyle w:val="Heading1"/></w:pPr><w:bookmarkStart w:id="18" w:name="_Toc19"/><w:r><w:t>Outcome</w:t></w:r><w:bookmarkEnd w:id="18"/></w:p><w:p><w:pPr/><w:r><w:rPr/><w:t xml:space="preserve">Merely implementing learning technologies did not automatically mean all students reported the highest level of engagement. However, authors propose that certain ways to orchestrate learning technologies support student engagement more than others.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0E16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2025-10-26T09:02:13+00:00</dcterms:created>
  <dcterms:modified xsi:type="dcterms:W3CDTF">2025-10-26T09:02:13+00:00</dcterms:modified>
</cp:coreProperties>
</file>

<file path=docProps/custom.xml><?xml version="1.0" encoding="utf-8"?>
<Properties xmlns="http://schemas.openxmlformats.org/officeDocument/2006/custom-properties" xmlns:vt="http://schemas.openxmlformats.org/officeDocument/2006/docPropsVTypes"/>
</file>