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 addiction</w:t></w:r></w:p><w:p><w:pPr><w:pStyle w:val="Heading1"/></w:pPr><w:bookmarkStart w:id="1" w:name="_Toc2"/><w:r><w:t>Keywords</w:t></w:r><w:bookmarkEnd w:id="1"/></w:p><w:p><w:pPr><w:numPr><w:ilvl w:val="0"/><w:numId w:val="5"/></w:numPr></w:pPr><w:r><w:rPr/><w:t xml:space="preserve">social media</w:t></w:r></w:p><w:p><w:pPr><w:numPr><w:ilvl w:val="0"/><w:numId w:val="5"/></w:numPr></w:pPr><w:r><w:rPr/><w:t xml:space="preserve">social network</w:t></w:r></w:p><w:p><w:pPr><w:numPr><w:ilvl w:val="0"/><w:numId w:val="5"/></w:numPr></w:pPr><w:r><w:rPr/><w:t xml:space="preserve">adolescents</w:t></w:r></w:p><w:p><w:pPr><w:numPr><w:ilvl w:val="0"/><w:numId w:val="5"/></w:numPr></w:pPr><w:r><w:rPr/><w:t xml:space="preserve">technology addiction</w:t></w:r></w:p><w:p><w:pPr><w:numPr><w:ilvl w:val="0"/><w:numId w:val="5"/></w:numPr></w:pPr><w:r><w:rPr/><w:t xml:space="preserve">social network addiction</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Issued</w:t></w:r><w:bookmarkEnd w:id="4"/></w:p><w:p><w:pPr/><w:r><w:rPr/><w:t xml:space="preserve">2020</w:t></w:r></w:p><w:p><w:pPr><w:pStyle w:val="Heading2"/></w:pPr><w:bookmarkStart w:id="5" w:name="_Toc6"/><w:r><w:t>Language</w:t></w:r><w:bookmarkEnd w:id="5"/></w:p><w:p><w:pPr/><w:r><w:rPr/><w:t xml:space="preserve">Italian</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Mauceri S.;Di Censi L.</w:t></w:r></w:p><w:p><w:pPr><w:pStyle w:val="Heading2"/></w:pPr><w:bookmarkStart w:id="9" w:name="_Toc10"/><w:r><w:t>Authors</w:t></w:r><w:bookmarkEnd w:id="9"/></w:p><w:p><w:pPr/><w:r><w:rPr/><w:t xml:space="preserve">Cortoni I.;Lo Presti V.</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ADOLESCENTI IPERCONNESSI Un’indagine sui rischi di dipendenza da tecnologie e media digitali</w:t></w:r></w:p><w:p><w:pPr><w:pStyle w:val="Heading2"/></w:pPr><w:bookmarkStart w:id="12" w:name="_Toc13"/><w:r><w:t>Publisher</w:t></w:r><w:bookmarkEnd w:id="12"/></w:p><w:p><w:pPr/><w:r><w:rPr/><w:t xml:space="preserve">Armando Editore</w:t></w:r></w:p><w:p><w:pPr><w:pStyle w:val="Heading2"/></w:pPr><w:bookmarkStart w:id="13" w:name="_Toc14"/><w:r><w:t>Place</w:t></w:r><w:bookmarkEnd w:id="13"/></w:p><w:p><w:pPr/><w:r><w:rPr/><w:t xml:space="preserve">Roma</w:t></w:r></w:p><w:p><w:pPr><w:pStyle w:val="Heading2"/></w:pPr><w:bookmarkStart w:id="14" w:name="_Toc15"/><w:r><w:t>Topics</w:t></w:r><w:bookmarkEnd w:id="14"/></w:p><w:p><w:pPr><w:pStyle w:val="Heading2"/></w:pPr><w:bookmarkStart w:id="15" w:name="_Toc16"/><w:r><w:t>Sample</w:t></w:r><w:bookmarkEnd w:id="15"/></w:p><w:p><w:pPr/><w:r><w:rPr/><w:t xml:space="preserve">3302 high school students in Rome</w:t></w:r></w:p><w:p><w:pPr><w:pStyle w:val="Heading1"/></w:pPr><w:bookmarkStart w:id="16" w:name="_Toc17"/><w:r><w:t>Abstract</w:t></w:r><w:bookmarkEnd w:id="16"/></w:p><w:p><w:pPr/><w:r><w:rPr/><w:t xml:space="preserve"></w:t></w:r></w:p><w:p><w:pPr><w:pStyle w:val="Heading1"/></w:pPr><w:bookmarkStart w:id="17" w:name="_Toc18"/><w:r><w:t>Outcome</w:t></w:r><w:bookmarkEnd w:id="17"/></w:p><w:p><w:pPr/><w:r><w:rPr/><w:t xml:space="preserve">"Findings show that the acquisition by young people of digital competence, based on the awareness and the capacity for critical analysis of media texts (Cortoni, Lo Presti, 2018), can be an antidote to addiction to social and media in general. in general. In this perspective, the "a-socials with addiction" represent the profile that is relatively more at risk due to the failure to develop a critical capacity to use media and to consciously read the contents of social media, in a life context characterized by a boring school climate and a family environment with a low socio-professional level and little inclination to listen and accompany their children" (Cortoni & Lo Presti, 2020, pp.93-94,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BFC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2025-01-12T23:51:06+00:00</dcterms:created>
  <dcterms:modified xsi:type="dcterms:W3CDTF">2025-01-12T23:51:06+00:00</dcterms:modified>
</cp:coreProperties>
</file>

<file path=docProps/custom.xml><?xml version="1.0" encoding="utf-8"?>
<Properties xmlns="http://schemas.openxmlformats.org/officeDocument/2006/custom-properties" xmlns:vt="http://schemas.openxmlformats.org/officeDocument/2006/docPropsVTypes"/>
</file>