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Language-related computer use: Focus on young L2 English learners in Sweden</w:t>
      </w:r>
    </w:p>
    <w:p>
      <w:pPr>
        <w:pStyle w:val="Heading1"/>
      </w:pPr>
      <w:bookmarkStart w:id="1" w:name="_Toc2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EYL</w:t>
      </w:r>
    </w:p>
    <w:p>
      <w:pPr>
        <w:numPr>
          <w:ilvl w:val="0"/>
          <w:numId w:val="5"/>
        </w:numPr>
      </w:pPr>
      <w:r>
        <w:rPr/>
        <w:t xml:space="preserve">CALL</w:t>
      </w:r>
    </w:p>
    <w:p>
      <w:pPr>
        <w:numPr>
          <w:ilvl w:val="0"/>
          <w:numId w:val="5"/>
        </w:numPr>
      </w:pPr>
      <w:r>
        <w:rPr/>
        <w:t xml:space="preserve">Computer-assisted language learning</w:t>
      </w:r>
    </w:p>
    <w:p>
      <w:pPr>
        <w:numPr>
          <w:ilvl w:val="0"/>
          <w:numId w:val="5"/>
        </w:numPr>
      </w:pPr>
      <w:r>
        <w:rPr/>
        <w:t xml:space="preserve">computer games</w:t>
      </w:r>
    </w:p>
    <w:p>
      <w:pPr>
        <w:numPr>
          <w:ilvl w:val="0"/>
          <w:numId w:val="5"/>
        </w:numPr>
      </w:pPr>
      <w:r>
        <w:rPr/>
        <w:t xml:space="preserve">English-language learning</w:t>
      </w:r>
    </w:p>
    <w:p>
      <w:pPr>
        <w:numPr>
          <w:ilvl w:val="0"/>
          <w:numId w:val="5"/>
        </w:numPr>
      </w:pPr>
      <w:r>
        <w:rPr/>
        <w:t xml:space="preserve">self-report</w:t>
      </w:r>
    </w:p>
    <w:p>
      <w:pPr>
        <w:numPr>
          <w:ilvl w:val="0"/>
          <w:numId w:val="5"/>
        </w:numPr>
      </w:pPr>
      <w:r>
        <w:rPr/>
        <w:t xml:space="preserve">ESL students</w:t>
      </w:r>
    </w:p>
    <w:p>
      <w:pPr>
        <w:numPr>
          <w:ilvl w:val="0"/>
          <w:numId w:val="5"/>
        </w:numPr>
      </w:pPr>
      <w:r>
        <w:rPr/>
        <w:t xml:space="preserve">schoolchildren</w:t>
      </w:r>
    </w:p>
    <w:p>
      <w:pPr>
        <w:numPr>
          <w:ilvl w:val="0"/>
          <w:numId w:val="5"/>
        </w:numPr>
      </w:pPr>
      <w:r>
        <w:rPr/>
        <w:t xml:space="preserve">EFL</w:t>
      </w:r>
    </w:p>
    <w:p>
      <w:pPr>
        <w:pStyle w:val="Heading1"/>
      </w:pPr>
      <w:bookmarkStart w:id="2" w:name="_Toc3"/>
      <w:r>
        <w:t>Details</w:t>
      </w:r>
      <w:bookmarkEnd w:id="2"/>
    </w:p>
    <w:p>
      <w:pPr>
        <w:pStyle w:val="Heading2"/>
      </w:pPr>
      <w:bookmarkStart w:id="3" w:name="_Toc4"/>
      <w:r>
        <w:t>Year</w:t>
      </w:r>
      <w:bookmarkEnd w:id="3"/>
    </w:p>
    <w:p>
      <w:pPr/>
      <w:r>
        <w:rPr/>
        <w:t xml:space="preserve">2014</w:t>
      </w:r>
    </w:p>
    <w:p>
      <w:pPr>
        <w:pStyle w:val="Heading2"/>
      </w:pPr>
      <w:bookmarkStart w:id="4" w:name="_Toc5"/>
      <w:r>
        <w:t>DOI</w:t>
      </w:r>
      <w:bookmarkEnd w:id="4"/>
    </w:p>
    <w:p>
      <w:pPr/>
      <w:r>
        <w:rPr/>
        <w:t xml:space="preserve">10.1017/s0958344013000232</w:t>
      </w:r>
    </w:p>
    <w:p>
      <w:pPr>
        <w:pStyle w:val="Heading2"/>
      </w:pPr>
      <w:bookmarkStart w:id="5" w:name="_Toc6"/>
      <w:r>
        <w:t>Issued</w:t>
      </w:r>
      <w:bookmarkEnd w:id="5"/>
    </w:p>
    <w:p>
      <w:pPr/>
      <w:r>
        <w:rPr/>
        <w:t xml:space="preserve">2014</w:t>
      </w:r>
    </w:p>
    <w:p>
      <w:pPr>
        <w:pStyle w:val="Heading2"/>
      </w:pPr>
      <w:bookmarkStart w:id="6" w:name="_Toc7"/>
      <w:r>
        <w:t>Language</w:t>
      </w:r>
      <w:bookmarkEnd w:id="6"/>
    </w:p>
    <w:p>
      <w:pPr/>
      <w:r>
        <w:rPr/>
        <w:t xml:space="preserve">English</w:t>
      </w:r>
    </w:p>
    <w:p>
      <w:pPr>
        <w:pStyle w:val="Heading2"/>
      </w:pPr>
      <w:bookmarkStart w:id="7" w:name="_Toc8"/>
      <w:r>
        <w:t>Volume</w:t>
      </w:r>
      <w:bookmarkEnd w:id="7"/>
    </w:p>
    <w:p>
      <w:pPr/>
      <w:r>
        <w:rPr/>
        <w:t xml:space="preserve">26</w:t>
      </w:r>
    </w:p>
    <w:p>
      <w:pPr>
        <w:pStyle w:val="Heading2"/>
      </w:pPr>
      <w:bookmarkStart w:id="8" w:name="_Toc9"/>
      <w:r>
        <w:t>Issue</w:t>
      </w:r>
      <w:bookmarkEnd w:id="8"/>
    </w:p>
    <w:p>
      <w:pPr/>
      <w:r>
        <w:rPr/>
        <w:t xml:space="preserve">1</w:t>
      </w:r>
    </w:p>
    <w:p>
      <w:pPr>
        <w:pStyle w:val="Heading2"/>
      </w:pPr>
      <w:bookmarkStart w:id="9" w:name="_Toc10"/>
      <w:r>
        <w:t>Start Page</w:t>
      </w:r>
      <w:bookmarkEnd w:id="9"/>
    </w:p>
    <w:p>
      <w:pPr>
        <w:pStyle w:val="Heading2"/>
      </w:pPr>
      <w:bookmarkStart w:id="10" w:name="_Toc11"/>
      <w:r>
        <w:t>End Page</w:t>
      </w:r>
      <w:bookmarkEnd w:id="10"/>
    </w:p>
    <w:p>
      <w:pPr>
        <w:pStyle w:val="Heading2"/>
      </w:pPr>
      <w:bookmarkStart w:id="11" w:name="_Toc12"/>
      <w:r>
        <w:t>Authors</w:t>
      </w:r>
      <w:bookmarkEnd w:id="11"/>
    </w:p>
    <w:p>
      <w:pPr/>
      <w:r>
        <w:rPr/>
        <w:t xml:space="preserve">Sundqvist P.;Sylvén L.</w:t>
      </w:r>
    </w:p>
    <w:p>
      <w:pPr>
        <w:pStyle w:val="Heading2"/>
      </w:pPr>
      <w:bookmarkStart w:id="12" w:name="_Toc13"/>
      <w:r>
        <w:t>Type</w:t>
      </w:r>
      <w:bookmarkEnd w:id="12"/>
    </w:p>
    <w:p>
      <w:pPr/>
      <w:r>
        <w:rPr/>
        <w:t xml:space="preserve">Journal article</w:t>
      </w:r>
    </w:p>
    <w:p>
      <w:pPr>
        <w:pStyle w:val="Heading2"/>
      </w:pPr>
      <w:bookmarkStart w:id="13" w:name="_Toc14"/>
      <w:r>
        <w:t>Journal</w:t>
      </w:r>
      <w:bookmarkEnd w:id="13"/>
    </w:p>
    <w:p>
      <w:pPr/>
      <w:r>
        <w:rPr/>
        <w:t xml:space="preserve">ReCALL</w:t>
      </w:r>
    </w:p>
    <w:p>
      <w:pPr>
        <w:pStyle w:val="Heading2"/>
      </w:pPr>
      <w:bookmarkStart w:id="14" w:name="_Toc15"/>
      <w:r>
        <w:t>Publisher</w:t>
      </w:r>
      <w:bookmarkEnd w:id="14"/>
    </w:p>
    <w:p>
      <w:pPr/>
      <w:r>
        <w:rPr/>
        <w:t xml:space="preserve">Cambridge University Press (CUP)</w:t>
      </w:r>
    </w:p>
    <w:p>
      <w:pPr>
        <w:pStyle w:val="Heading2"/>
      </w:pPr>
      <w:bookmarkStart w:id="15" w:name="_Toc16"/>
      <w:r>
        <w:t>Topics</w:t>
      </w:r>
      <w:bookmarkEnd w:id="15"/>
    </w:p>
    <w:p>
      <w:pPr/>
      <w:r>
        <w:rPr/>
        <w:t xml:space="preserve">Learning</w:t>
      </w:r>
    </w:p>
    <w:p>
      <w:pPr>
        <w:pStyle w:val="Heading2"/>
      </w:pPr>
      <w:bookmarkStart w:id="16" w:name="_Toc17"/>
      <w:r>
        <w:t>Sample</w:t>
      </w:r>
      <w:bookmarkEnd w:id="16"/>
    </w:p>
    <w:p>
      <w:pPr/>
      <w:r>
        <w:rPr/>
        <w:t xml:space="preserve">Young English language learners (YELLs) in Sweden in 4th grade (N=76, aged 10–11).</w:t>
      </w:r>
    </w:p>
    <w:p>
      <w:pPr>
        <w:pStyle w:val="Heading2"/>
      </w:pPr>
      <w:bookmarkStart w:id="17" w:name="_Toc18"/>
      <w:r>
        <w:t>Implications For Educators About</w:t>
      </w:r>
      <w:bookmarkEnd w:id="17"/>
    </w:p>
    <w:p>
      <w:pPr/>
      <w:r>
        <w:rPr/>
        <w:t xml:space="preserve">Other</w:t>
      </w:r>
    </w:p>
    <w:p>
      <w:pPr>
        <w:pStyle w:val="Heading2"/>
      </w:pPr>
      <w:bookmarkStart w:id="18" w:name="_Toc19"/>
      <w:r>
        <w:t>Implications For Stakeholders About</w:t>
      </w:r>
      <w:bookmarkEnd w:id="18"/>
    </w:p>
    <w:p>
      <w:pPr/>
      <w:r>
        <w:rPr/>
        <w:t xml:space="preserve">Researchers</w:t>
      </w:r>
    </w:p>
    <w:p>
      <w:pPr>
        <w:pStyle w:val="Heading1"/>
      </w:pPr>
      <w:bookmarkStart w:id="19" w:name="_Toc20"/>
      <w:r>
        <w:t>Abstract</w:t>
      </w:r>
      <w:bookmarkEnd w:id="19"/>
    </w:p>
    <w:p>
      <w:pPr/>
      <w:r>
        <w:rPr/>
        <w:t xml:space="preserve">This paper presents findings from a study investigating young English language learners (YELLs) in Sweden in 4th grade (N = 76, aged 10–11). Data were collected with the help of a questionnaire and a one-week language diary. The main purpose was to examine the learners’ L2 English language-related activities outside of school in general, and their use of computers and engagement in playing digital games in particular. A comparison is made between language-related activities in English, Swedish, and other languages. Another purpose was to see whether there is a relationship between playing digital games and (a) gender, (b) L1, (c) motivation for learning English, (d) self-assessed English ability, and (e) self-reported strategies for speaking English. In order to do so, the sample was divided into three digital game groups, (1) non-gamers, (2) moderate, and (3) frequent gamers (≥4 hours/week), based on diary data (using self-reported times for playing digital games in English). Results showed that YELLs are extensively involved in extramural English (EE) activities (M = 7.2 hrs/w). There are statistically significant gender differences, boys (11.5 hrs/w) and girls (5.1 hrs/w; p &lt; .01), the reason being boys’ greater time investment in digital gaming and watching films. The girls, on the other hand, spent significantly more time on pastime language-related activities in Swedish (11.5 hrs/w) than the boys (8.0 hrs/w; p &lt; .05), the reason being girls’ greater time investment in facebooking. Investigation of the digital game groups revealed that group (1) was predominantly female, (2) a mix, and (3) predominantly male. YELLs with an L1 other than Swedish were overrepresented in group (3). Motivation and self-assessed English ability were high across all groups. Finally, regarding the self-reported strategies, code-switching to one's L1 was more commonly reported by non- and moderate gamers than frequent gamers.</w:t>
      </w:r>
    </w:p>
    <w:p>
      <w:pPr>
        <w:pStyle w:val="Heading1"/>
      </w:pPr>
      <w:bookmarkStart w:id="20" w:name="_Toc21"/>
      <w:r>
        <w:t>Outcome</w:t>
      </w:r>
      <w:bookmarkEnd w:id="20"/>
    </w:p>
    <w:p>
      <w:pPr/>
      <w:r>
        <w:rPr/>
        <w:t xml:space="preserve">Besides those mentioned in the abstract, "the 4th graders examined here devote more hours to English outside of school than there are hours in school devoted to English.... [W]hen sitting at the computer, the boys use English to a greater extent than the girls, who tend to rely more on their L1." (Authors, 17)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F4D4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2025-10-16T17:39:15+00:00</dcterms:created>
  <dcterms:modified xsi:type="dcterms:W3CDTF">2025-10-16T17:39:15+00:00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