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Student engagement and disengagement in TEL – The role of gaming, gender and non-native students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10.25304/rlt.v28.2293</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28</w:t>
      </w:r>
    </w:p>
    <w:p>
      <w:pPr>
        <w:pStyle w:val="Heading2"/>
      </w:pPr>
      <w:bookmarkStart w:id="7" w:name="_Toc8"/>
      <w:r>
        <w:t>Authors</w:t>
      </w:r>
      <w:bookmarkEnd w:id="7"/>
    </w:p>
    <w:p>
      <w:pPr/>
      <w:r>
        <w:rPr/>
        <w:t xml:space="preserve">Bergdahl N.;Nouri J.</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Research in Learning Technology</w:t>
      </w:r>
    </w:p>
    <w:p>
      <w:pPr>
        <w:pStyle w:val="Heading2"/>
      </w:pPr>
      <w:bookmarkStart w:id="10" w:name="_Toc11"/>
      <w:r>
        <w:t>Publisher</w:t>
      </w:r>
      <w:bookmarkEnd w:id="10"/>
    </w:p>
    <w:p>
      <w:pPr/>
      <w:r>
        <w:rPr/>
        <w:t xml:space="preserve">Association for Learning Technology</w:t>
      </w:r>
    </w:p>
    <w:p>
      <w:pPr>
        <w:pStyle w:val="Heading2"/>
      </w:pPr>
      <w:bookmarkStart w:id="11" w:name="_Toc12"/>
      <w:r>
        <w:t>Topics</w:t>
      </w:r>
      <w:bookmarkEnd w:id="11"/>
    </w:p>
    <w:p>
      <w:pPr>
        <w:pStyle w:val="Heading2"/>
      </w:pPr>
      <w:bookmarkStart w:id="12" w:name="_Toc13"/>
      <w:r>
        <w:t>Sample</w:t>
      </w:r>
      <w:bookmarkEnd w:id="12"/>
    </w:p>
    <w:p>
      <w:pPr/>
      <w:r>
        <w:rPr/>
        <w:t xml:space="preserve">Phase 1: Eight students in their second or third year in two upper secondary schools in Stockholm. Phase 2: 410 students in 11 upper secondary schools in Stockholm.</w:t>
      </w:r>
    </w:p>
    <w:p>
      <w:pPr>
        <w:pStyle w:val="Heading2"/>
      </w:pPr>
      <w:bookmarkStart w:id="13" w:name="_Toc14"/>
      <w:r>
        <w:t>Implications For Educators About</w:t>
      </w:r>
      <w:bookmarkEnd w:id="13"/>
    </w:p>
    <w:p>
      <w:pPr/>
      <w:r>
        <w:rPr/>
        <w:t xml:space="preserve">Other</w:t>
      </w:r>
    </w:p>
    <w:p>
      <w:pPr>
        <w:pStyle w:val="Heading1"/>
      </w:pPr>
      <w:bookmarkStart w:id="14" w:name="_Toc15"/>
      <w:r>
        <w:t>Abstract</w:t>
      </w:r>
      <w:bookmarkEnd w:id="14"/>
    </w:p>
    <w:p>
      <w:pPr/>
      <w:r>
        <w:rPr/>
        <w:t xml:space="preserve">Student engagement is critical for learning. However, little is known about engagement and disengagement and particular social groups. Recent research has alerted that engagement in technology-enhanced learning (TEL) settings may manifest differently than engagement in analogue learning settings. This study explores how different social groups of upper secondary school students (n= 410) engage and disengage when learning with digital technologies. We used an instrument to approach dimensions of engagement and disengagement in TEL. Using thematic analysis, we identified cognitive, emotional, behavioural and social aspects of engagement and disengagement in eight-student interviews which together with theory, informed a questionnaire. Using statistical methods, we explored the relationship between engagement, disengagement and the social categories: gamers, gender and non-native speakers. We found significant differences between the groups. For example: that high-frequency gaming students were not as easily distracted as students reporting low-frequency gaming, that female students engaged in TEL in different ways than male students, and that non-native speakers displayed significantly fewer tendencies to engage in unauthorised uses of digital technologies than native speakers. Identifying indicators reflecting engagement and disengagement in TEL in social groups can inform successful practices that stimulate student engagement and can be used to avoid, or redeem, group-specific challenges that trigger disengagement.</w:t>
      </w:r>
    </w:p>
    <w:p>
      <w:pPr>
        <w:pStyle w:val="Heading1"/>
      </w:pPr>
      <w:bookmarkStart w:id="15" w:name="_Toc16"/>
      <w:r>
        <w:t>Outcome</w:t>
      </w:r>
      <w:bookmarkEnd w:id="15"/>
    </w:p>
    <w:p>
      <w:pPr/>
      <w:r>
        <w:rPr/>
        <w:t xml:space="preserve">"We found that female students often display higher levels of  engagement, but that there were no differences between female and male students’ behavioural disengagement. Non-native speakers refrained from unauthorised use of  digital  technologies  to  a  significantly  greater  extent  than  native  speakers,  and  while  high-frequency gaming students did not use the Internet to research what others have written,  as  much  as  students  reporting  low-frequency  gaming,  we  also  noted  that  high-frequency gaming students did not report being as easily distracted by notifica-tions nor by information overflow as much as the low frequency of  gaming students." (Authors, 13-14)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2025-10-22T17:53:26+00:00</dcterms:created>
  <dcterms:modified xsi:type="dcterms:W3CDTF">2025-10-22T17:53:26+00:00</dcterms:modified>
</cp:coreProperties>
</file>

<file path=docProps/custom.xml><?xml version="1.0" encoding="utf-8"?>
<Properties xmlns="http://schemas.openxmlformats.org/officeDocument/2006/custom-properties" xmlns:vt="http://schemas.openxmlformats.org/officeDocument/2006/docPropsVTypes"/>
</file>