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Experimenting with the Self- presentation Online: A Risky Opportunity,</w:t>
      </w:r>
    </w:p>
    <w:p>
      <w:pPr>
        <w:pStyle w:val="Title"/>
      </w:pPr>
      <w:r>
        <w:t>Engl. transl.: Experimenting with the Self- presentation Online: A Risky Opportunity,</w:t>
      </w:r>
    </w:p>
    <w:p>
      <w:pPr>
        <w:pStyle w:val="Heading1"/>
      </w:pPr>
      <w:bookmarkStart w:id="1" w:name="_Toc3"/>
      <w:r>
        <w:t>Keywords</w:t>
      </w:r>
      <w:bookmarkEnd w:id="1"/>
    </w:p>
    <w:p>
      <w:pPr>
        <w:numPr>
          <w:ilvl w:val="0"/>
          <w:numId w:val="5"/>
        </w:numPr>
      </w:pPr>
      <w:r>
        <w:rPr/>
        <w:t xml:space="preserve">Self- presentation</w:t>
      </w:r>
    </w:p>
    <w:p>
      <w:pPr>
        <w:numPr>
          <w:ilvl w:val="0"/>
          <w:numId w:val="5"/>
        </w:numPr>
      </w:pPr>
      <w:r>
        <w:rPr/>
        <w:t xml:space="preserve"> Online</w:t>
      </w:r>
    </w:p>
    <w:p>
      <w:pPr>
        <w:numPr>
          <w:ilvl w:val="0"/>
          <w:numId w:val="5"/>
        </w:numPr>
      </w:pPr>
      <w:r>
        <w:rPr/>
        <w:t xml:space="preserve"> Risky Opportunities</w:t>
      </w:r>
    </w:p>
    <w:p>
      <w:pPr>
        <w:pStyle w:val="Heading1"/>
      </w:pPr>
      <w:bookmarkStart w:id="2" w:name="_Toc4"/>
      <w:r>
        <w:t>Details</w:t>
      </w:r>
      <w:bookmarkEnd w:id="2"/>
    </w:p>
    <w:p>
      <w:pPr>
        <w:pStyle w:val="Heading2"/>
      </w:pPr>
      <w:bookmarkStart w:id="3" w:name="_Toc5"/>
      <w:r>
        <w:t>Year</w:t>
      </w:r>
      <w:bookmarkEnd w:id="3"/>
    </w:p>
    <w:p>
      <w:pPr/>
      <w:r>
        <w:rPr/>
        <w:t xml:space="preserve">2012</w:t>
      </w:r>
    </w:p>
    <w:p>
      <w:pPr>
        <w:pStyle w:val="Heading2"/>
      </w:pPr>
      <w:bookmarkStart w:id="4" w:name="_Toc6"/>
      <w:r>
        <w:t>DOI</w:t>
      </w:r>
      <w:bookmarkEnd w:id="4"/>
    </w:p>
    <w:p>
      <w:pPr/>
      <w:r>
        <w:rPr/>
        <w:t xml:space="preserve">10.1332/policypress/9781847428837.003.0009</w:t>
      </w:r>
    </w:p>
    <w:p>
      <w:pPr>
        <w:pStyle w:val="Heading2"/>
      </w:pPr>
      <w:bookmarkStart w:id="5" w:name="_Toc7"/>
      <w:r>
        <w:t>Issued</w:t>
      </w:r>
      <w:bookmarkEnd w:id="5"/>
    </w:p>
    <w:p>
      <w:pPr/>
      <w:r>
        <w:rPr/>
        <w:t xml:space="preserve">2012</w:t>
      </w:r>
    </w:p>
    <w:p>
      <w:pPr>
        <w:pStyle w:val="Heading2"/>
      </w:pPr>
      <w:bookmarkStart w:id="6" w:name="_Toc8"/>
      <w:r>
        <w:t>Language</w:t>
      </w:r>
      <w:bookmarkEnd w:id="6"/>
    </w:p>
    <w:p>
      <w:pPr/>
      <w:r>
        <w:rPr/>
        <w:t xml:space="preserve">English</w:t>
      </w:r>
    </w:p>
    <w:p>
      <w:pPr>
        <w:pStyle w:val="Heading2"/>
      </w:pPr>
      <w:bookmarkStart w:id="7" w:name="_Toc9"/>
      <w:r>
        <w:t>Start Page</w:t>
      </w:r>
      <w:bookmarkEnd w:id="7"/>
    </w:p>
    <w:p>
      <w:pPr>
        <w:pStyle w:val="Heading2"/>
      </w:pPr>
      <w:bookmarkStart w:id="8" w:name="_Toc10"/>
      <w:r>
        <w:t>End Page</w:t>
      </w:r>
      <w:bookmarkEnd w:id="8"/>
    </w:p>
    <w:p>
      <w:pPr>
        <w:pStyle w:val="Heading2"/>
      </w:pPr>
      <w:bookmarkStart w:id="9" w:name="_Toc11"/>
      <w:r>
        <w:t>Editors</w:t>
      </w:r>
      <w:bookmarkEnd w:id="9"/>
    </w:p>
    <w:p>
      <w:pPr/>
      <w:r>
        <w:rPr/>
        <w:t xml:space="preserve">Livingstone, S.; Haddon, L.; Goerzig, A</w:t>
      </w:r>
    </w:p>
    <w:p>
      <w:pPr>
        <w:pStyle w:val="Heading2"/>
      </w:pPr>
      <w:bookmarkStart w:id="10" w:name="_Toc12"/>
      <w:r>
        <w:t>Authors</w:t>
      </w:r>
      <w:bookmarkEnd w:id="10"/>
    </w:p>
    <w:p>
      <w:pPr/>
      <w:r>
        <w:rPr/>
        <w:t xml:space="preserve">Laouris Y.;Kirwil, L</w:t>
      </w:r>
    </w:p>
    <w:p>
      <w:pPr>
        <w:pStyle w:val="Heading2"/>
      </w:pPr>
      <w:bookmarkStart w:id="11" w:name="_Toc13"/>
      <w:r>
        <w:t>Type</w:t>
      </w:r>
      <w:bookmarkEnd w:id="11"/>
    </w:p>
    <w:p>
      <w:pPr/>
      <w:r>
        <w:rPr/>
        <w:t xml:space="preserve">Book chapter</w:t>
      </w:r>
    </w:p>
    <w:p>
      <w:pPr>
        <w:pStyle w:val="Heading2"/>
      </w:pPr>
      <w:bookmarkStart w:id="12" w:name="_Toc14"/>
      <w:r>
        <w:t>Book title</w:t>
      </w:r>
      <w:bookmarkEnd w:id="12"/>
    </w:p>
    <w:p>
      <w:pPr/>
      <w:r>
        <w:rPr/>
        <w:t xml:space="preserve">Children, risk and safety online: Research and policy challenges in comparative perspective</w:t>
      </w:r>
    </w:p>
    <w:p>
      <w:pPr>
        <w:pStyle w:val="Heading2"/>
      </w:pPr>
      <w:bookmarkStart w:id="13" w:name="_Toc15"/>
      <w:r>
        <w:t>Publisher</w:t>
      </w:r>
      <w:bookmarkEnd w:id="13"/>
    </w:p>
    <w:p>
      <w:pPr/>
      <w:r>
        <w:rPr/>
        <w:t xml:space="preserve">The Policy Press</w:t>
      </w:r>
    </w:p>
    <w:p>
      <w:pPr>
        <w:pStyle w:val="Heading2"/>
      </w:pPr>
      <w:bookmarkStart w:id="14" w:name="_Toc16"/>
      <w:r>
        <w:t>Place</w:t>
      </w:r>
      <w:bookmarkEnd w:id="14"/>
    </w:p>
    <w:p>
      <w:pPr/>
      <w:r>
        <w:rPr/>
        <w:t xml:space="preserve">Bristol</w:t>
      </w:r>
    </w:p>
    <w:p>
      <w:pPr>
        <w:pStyle w:val="Heading2"/>
      </w:pPr>
      <w:bookmarkStart w:id="15" w:name="_Toc17"/>
      <w:r>
        <w:t>Implications For Parents About</w:t>
      </w:r>
      <w:bookmarkEnd w:id="15"/>
    </w:p>
    <w:p>
      <w:pPr>
        <w:pStyle w:val="Heading2"/>
      </w:pPr>
      <w:bookmarkStart w:id="16" w:name="_Toc18"/>
      <w:r>
        <w:t>Implications For Educators About</w:t>
      </w:r>
      <w:bookmarkEnd w:id="16"/>
    </w:p>
    <w:p>
      <w:pPr/>
      <w:r>
        <w:rPr/>
        <w:t xml:space="preserve">Digital citizenship</w:t>
      </w:r>
    </w:p>
    <w:p>
      <w:pPr>
        <w:pStyle w:val="Heading2"/>
      </w:pPr>
      <w:bookmarkStart w:id="17" w:name="_Toc19"/>
      <w:r>
        <w:t>Implications For Policy Makers About</w:t>
      </w:r>
      <w:bookmarkEnd w:id="17"/>
    </w:p>
    <w:p>
      <w:pPr>
        <w:numPr>
          <w:ilvl w:val="0"/>
          <w:numId w:val="5"/>
        </w:numPr>
      </w:pPr>
      <w:r>
        <w:rPr/>
        <w:t xml:space="preserve">High-quality content online for children and young people</w:t>
      </w:r>
    </w:p>
    <w:p>
      <w:pPr>
        <w:numPr>
          <w:ilvl w:val="0"/>
          <w:numId w:val="5"/>
        </w:numPr>
      </w:pPr>
      <w:r>
        <w:rPr/>
        <w:t xml:space="preserve">Stepping up awareness and empowerment</w:t>
      </w:r>
    </w:p>
    <w:p>
      <w:pPr>
        <w:numPr>
          <w:ilvl w:val="0"/>
          <w:numId w:val="5"/>
        </w:numPr>
      </w:pPr>
      <w:r>
        <w:rPr/>
        <w:t xml:space="preserve">Creating a safe environment for children online</w:t>
      </w:r>
    </w:p>
    <w:p>
      <w:pPr>
        <w:numPr>
          <w:ilvl w:val="0"/>
          <w:numId w:val="5"/>
        </w:numPr>
      </w:pPr>
      <w:r>
        <w:rPr/>
        <w:t xml:space="preserve">Fighting against child sexual abuse and child exploitation</w:t>
      </w:r>
    </w:p>
    <w:p>
      <w:pPr>
        <w:pStyle w:val="Heading2"/>
      </w:pPr>
      <w:bookmarkStart w:id="18" w:name="_Toc20"/>
      <w:r>
        <w:t>Implications For Stakeholders About</w:t>
      </w:r>
      <w:bookmarkEnd w:id="18"/>
    </w:p>
    <w:p>
      <w:pPr>
        <w:numPr>
          <w:ilvl w:val="0"/>
          <w:numId w:val="5"/>
        </w:numPr>
      </w:pPr>
      <w:r>
        <w:rPr/>
        <w:t xml:space="preserve">Researchers</w:t>
      </w:r>
    </w:p>
    <w:p>
      <w:pPr>
        <w:numPr>
          <w:ilvl w:val="0"/>
          <w:numId w:val="5"/>
        </w:numPr>
      </w:pPr>
      <w:r>
        <w:rPr/>
        <w:t xml:space="preserve">Industry</w:t>
      </w:r>
    </w:p>
    <w:p>
      <w:pPr>
        <w:numPr>
          <w:ilvl w:val="0"/>
          <w:numId w:val="5"/>
        </w:numPr>
      </w:pPr>
      <w:r>
        <w:rPr/>
        <w:t xml:space="preserve">Healthcare</w:t>
      </w:r>
    </w:p>
    <w:p>
      <w:pPr>
        <w:pStyle w:val="Heading1"/>
      </w:pPr>
      <w:bookmarkStart w:id="19" w:name="_Toc21"/>
      <w:r>
        <w:t>Abstract</w:t>
      </w:r>
      <w:bookmarkEnd w:id="19"/>
    </w:p>
    <w:p>
      <w:pPr/>
      <w:r>
        <w:rPr/>
        <w:t xml:space="preserve">The main aim of the chapter will show developmental trends in online experimentation with the self and online risk taking. from late school-age through adolescence. Motivation based on developmental needs for construction self-concept, motivation for experimenting with self (own age and features) to establish self-esteem and individual’s risk seeking as based on specific features of user will be explored as three main predictors of neglecting safety rules and undertaking risky behavior on the Internet.</w:t>
      </w:r>
    </w:p>
    <w:p>
      <w:pPr>
        <w:pStyle w:val="Heading1"/>
      </w:pPr>
      <w:bookmarkStart w:id="20" w:name="_Toc22"/>
      <w:r>
        <w:t>Outcome</w:t>
      </w:r>
      <w:bookmarkEnd w:id="20"/>
    </w:p>
    <w:p>
      <w:pPr/>
      <w:r>
        <w:rPr/>
        <w:t xml:space="preserve">Experimenting with self online is a common behavior among 9-16 year olds_x000B_
Experimenting with self is more common among boys
Experimenting with self is more comon at younger children
More children experimenting with self online are at risk of having negative experiences online
Children with more IT experience are at lower risk when they encounter negative experiences online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BC292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2025-10-17T11:48:11+00:00</dcterms:created>
  <dcterms:modified xsi:type="dcterms:W3CDTF">2025-10-17T11:48:11+00:00</dcterms:modified>
</cp:coreProperties>
</file>

<file path=docProps/custom.xml><?xml version="1.0" encoding="utf-8"?>
<Properties xmlns="http://schemas.openxmlformats.org/officeDocument/2006/custom-properties" xmlns:vt="http://schemas.openxmlformats.org/officeDocument/2006/docPropsVTypes"/>
</file>