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Utanför den svarta lådan: Ett utvecklingsarbete om medie- och informationskunnighet i lärarutbildningen på Södertörns högskola</w:t>
      </w:r>
    </w:p>
    <w:p>
      <w:pPr>
        <w:pStyle w:val="Title"/>
      </w:pPr>
      <w:r>
        <w:t>Engl. transl.: Outside the black box: Promoting media and information literacy in teacher training at Södertörn University</w:t>
      </w:r>
    </w:p>
    <w:p>
      <w:pPr>
        <w:pStyle w:val="Heading1"/>
      </w:pPr>
      <w:bookmarkStart w:id="1" w:name="_Toc3"/>
      <w:r>
        <w:t>Keywords</w:t>
      </w:r>
      <w:bookmarkEnd w:id="1"/>
    </w:p>
    <w:p>
      <w:pPr>
        <w:numPr>
          <w:ilvl w:val="0"/>
          <w:numId w:val="5"/>
        </w:numPr>
      </w:pPr>
      <w:r>
        <w:rPr/>
        <w:t xml:space="preserve">Teacher training</w:t>
      </w:r>
    </w:p>
    <w:p>
      <w:pPr>
        <w:numPr>
          <w:ilvl w:val="0"/>
          <w:numId w:val="5"/>
        </w:numPr>
      </w:pPr>
      <w:r>
        <w:rPr/>
        <w:t xml:space="preserve">digitalization</w:t>
      </w:r>
    </w:p>
    <w:p>
      <w:pPr>
        <w:numPr>
          <w:ilvl w:val="0"/>
          <w:numId w:val="5"/>
        </w:numPr>
      </w:pPr>
      <w:r>
        <w:rPr/>
        <w:t xml:space="preserve">media and information literacy (MIL)</w:t>
      </w:r>
    </w:p>
    <w:p>
      <w:pPr>
        <w:numPr>
          <w:ilvl w:val="0"/>
          <w:numId w:val="5"/>
        </w:numPr>
      </w:pPr>
      <w:r>
        <w:rPr/>
        <w:t xml:space="preserve">digital competence</w:t>
      </w:r>
    </w:p>
    <w:p>
      <w:pPr>
        <w:numPr>
          <w:ilvl w:val="0"/>
          <w:numId w:val="5"/>
        </w:numPr>
      </w:pPr>
      <w:r>
        <w:rPr/>
        <w:t xml:space="preserve">educational technology</w:t>
      </w:r>
    </w:p>
    <w:p>
      <w:pPr>
        <w:numPr>
          <w:ilvl w:val="0"/>
          <w:numId w:val="5"/>
        </w:numPr>
      </w:pPr>
      <w:r>
        <w:rPr/>
        <w:t xml:space="preserve">media infrastructure</w:t>
      </w:r>
    </w:p>
    <w:p>
      <w:pPr>
        <w:numPr>
          <w:ilvl w:val="0"/>
          <w:numId w:val="5"/>
        </w:numPr>
      </w:pPr>
      <w:r>
        <w:rPr/>
        <w:t xml:space="preserve">development work</w:t>
      </w:r>
    </w:p>
    <w:p>
      <w:pPr>
        <w:numPr>
          <w:ilvl w:val="0"/>
          <w:numId w:val="5"/>
        </w:numPr>
      </w:pPr>
      <w:r>
        <w:rPr/>
        <w:t xml:space="preserve">progression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10.23865/hu.v10.1861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10</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Forsler I.;Forsman M.;Magnusson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Högre utbildning</w:t>
      </w:r>
    </w:p>
    <w:p>
      <w:pPr>
        <w:pStyle w:val="Heading2"/>
      </w:pPr>
      <w:bookmarkStart w:id="14" w:name="_Toc16"/>
      <w:r>
        <w:t>Publisher</w:t>
      </w:r>
      <w:bookmarkEnd w:id="14"/>
    </w:p>
    <w:p>
      <w:pPr/>
      <w:r>
        <w:rPr/>
        <w:t xml:space="preserve">Cappelen Damm AS - Cappelen Damm Akademisk</w:t>
      </w:r>
    </w:p>
    <w:p>
      <w:pPr>
        <w:pStyle w:val="Heading2"/>
      </w:pPr>
      <w:bookmarkStart w:id="15" w:name="_Toc17"/>
      <w:r>
        <w:t>Topics</w:t>
      </w:r>
      <w:bookmarkEnd w:id="15"/>
    </w:p>
    <w:p>
      <w:pPr>
        <w:pStyle w:val="Heading2"/>
      </w:pPr>
      <w:bookmarkStart w:id="16" w:name="_Toc18"/>
      <w:r>
        <w:t>Sample</w:t>
      </w:r>
      <w:bookmarkEnd w:id="16"/>
    </w:p>
    <w:p>
      <w:pPr/>
      <w:r>
        <w:rPr/>
        <w:t xml:space="preserve">A teacher training programme at one university in Sweden.</w:t>
      </w:r>
    </w:p>
    <w:p>
      <w:pPr>
        <w:pStyle w:val="Heading2"/>
      </w:pPr>
      <w:bookmarkStart w:id="17" w:name="_Toc19"/>
      <w:r>
        <w:t>Implications For Educators About</w:t>
      </w:r>
      <w:bookmarkEnd w:id="17"/>
    </w:p>
    <w:p>
      <w:pPr>
        <w:numPr>
          <w:ilvl w:val="0"/>
          <w:numId w:val="5"/>
        </w:numPr>
      </w:pPr>
      <w:r>
        <w:rPr/>
        <w:t xml:space="preserve">Professional development</w:t>
      </w:r>
    </w:p>
    <w:p>
      <w:pPr>
        <w:numPr>
          <w:ilvl w:val="0"/>
          <w:numId w:val="5"/>
        </w:numPr>
      </w:pPr>
      <w:r>
        <w:rPr/>
        <w:t xml:space="preserve">Digital citizenship</w:t>
      </w:r>
    </w:p>
    <w:p>
      <w:pPr>
        <w:numPr>
          <w:ilvl w:val="0"/>
          <w:numId w:val="5"/>
        </w:numPr>
      </w:pPr>
      <w:r>
        <w:rPr/>
        <w:t xml:space="preserve">Other</w:t>
      </w:r>
    </w:p>
    <w:p>
      <w:pPr>
        <w:pStyle w:val="Heading1"/>
      </w:pPr>
      <w:bookmarkStart w:id="18" w:name="_Toc20"/>
      <w:r>
        <w:t>Abstract</w:t>
      </w:r>
      <w:bookmarkEnd w:id="18"/>
    </w:p>
    <w:p>
      <w:pPr/>
      <w:r>
        <w:rPr/>
        <w:t xml:space="preserve">[Abbreviated] In this article three teacher trainers från Södetörn University in Sweden describe and reflect upon their work with media information literacy (MIL) as an umbrella term denoting three abilities needed by both teacher trainees and teacher trainers: digital competence, media literacy, and information literacy. The goal with cultivating these three in teacher training has been to promote media and technology-aware teachers for the digitalized school and the mediatized society. The article discusses, among other things, organizational and practical challenges involved in such an undertaking. One of its conclusions is that it is important to think of digital media not only as tools, but also as milieus within which digitally competent teachers are educated for future society while retaining their autonomy vis-a-vis the powerful forces of economy, politics, and pedagogics.</w:t>
      </w:r>
    </w:p>
    <w:p>
      <w:pPr>
        <w:pStyle w:val="Heading1"/>
      </w:pPr>
      <w:bookmarkStart w:id="19" w:name="_Toc21"/>
      <w:r>
        <w:t>Outcome</w:t>
      </w:r>
      <w:bookmarkEnd w:id="19"/>
    </w:p>
    <w:p>
      <w:pPr/>
      <w:r>
        <w:rPr/>
        <w:t xml:space="preserve">Future teachers need to understand digitalization from both an historical and an ecological perspective. This can be done by encouraging critical and explorative ways to approach digital technology, and by approaching media literacy, information literacy, and digital competence as complex knowledge fields with possibilities for progression, rather than as mere skills. (Authors, 118)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B39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2025-11-03T18:32:39+00:00</dcterms:created>
  <dcterms:modified xsi:type="dcterms:W3CDTF">2025-11-03T18:32:39+00:00</dcterms:modified>
</cp:coreProperties>
</file>

<file path=docProps/custom.xml><?xml version="1.0" encoding="utf-8"?>
<Properties xmlns="http://schemas.openxmlformats.org/officeDocument/2006/custom-properties" xmlns:vt="http://schemas.openxmlformats.org/officeDocument/2006/docPropsVTypes"/>
</file>