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Textuniversum och gränsöverskridande lärande: att arbeta med kreativt lärande i gymnasieskolans litteraturundervisning</w:t>
      </w:r>
    </w:p>
    <w:p>
      <w:pPr>
        <w:pStyle w:val="Title"/>
      </w:pPr>
      <w:r>
        <w:t>Engl. transl.: Text universe and multi-modal learning: Creative teaching and learning in upper secondary school-level literature classes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Swedish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Svensson Å.;Haglind T.</w:t>
      </w:r>
    </w:p>
    <w:p>
      <w:pPr>
        <w:pStyle w:val="Heading2"/>
      </w:pPr>
      <w:bookmarkStart w:id="8" w:name="_Toc10"/>
      <w:r>
        <w:t>Type</w:t>
      </w:r>
      <w:bookmarkEnd w:id="8"/>
    </w:p>
    <w:p>
      <w:pPr/>
      <w:r>
        <w:rPr/>
        <w:t xml:space="preserve">Book chapter</w:t>
      </w:r>
    </w:p>
    <w:p>
      <w:pPr>
        <w:pStyle w:val="Heading2"/>
      </w:pPr>
      <w:bookmarkStart w:id="9" w:name="_Toc11"/>
      <w:r>
        <w:t>Book title</w:t>
      </w:r>
      <w:bookmarkEnd w:id="9"/>
    </w:p>
    <w:p>
      <w:pPr/>
      <w:r>
        <w:rPr/>
        <w:t xml:space="preserve">Grænsegængere og grænsedragninger i nordiske modersmålsfag</w:t>
      </w:r>
    </w:p>
    <w:p>
      <w:pPr>
        <w:pStyle w:val="Heading2"/>
      </w:pPr>
      <w:bookmarkStart w:id="10" w:name="_Toc12"/>
      <w:r>
        <w:t>Publisher</w:t>
      </w:r>
      <w:bookmarkEnd w:id="10"/>
    </w:p>
    <w:p>
      <w:pPr/>
      <w:r>
        <w:rPr/>
        <w:t xml:space="preserve">Syddansk Universitetsforlag</w:t>
      </w:r>
    </w:p>
    <w:p>
      <w:pPr>
        <w:pStyle w:val="Heading2"/>
      </w:pPr>
      <w:bookmarkStart w:id="11" w:name="_Toc13"/>
      <w:r>
        <w:t>Place</w:t>
      </w:r>
      <w:bookmarkEnd w:id="11"/>
    </w:p>
    <w:p>
      <w:pPr/>
      <w:r>
        <w:rPr/>
        <w:t xml:space="preserve">Denmark</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3" w:name="_Toc15"/>
      <w:r>
        <w:t>Sample</w:t>
      </w:r>
      <w:bookmarkEnd w:id="13"/>
    </w:p>
    <w:p>
      <w:pPr/>
      <w:r>
        <w:rPr/>
        <w:t xml:space="preserve">10 students in 2 upper secondary schools in 2 cities in Sweden, with their total of 2 teachers.</w:t>
      </w:r>
    </w:p>
    <w:p>
      <w:pPr>
        <w:pStyle w:val="Heading2"/>
      </w:pPr>
      <w:bookmarkStart w:id="14" w:name="_Toc16"/>
      <w:r>
        <w:t>Implications For Educators About</w:t>
      </w:r>
      <w:bookmarkEnd w:id="14"/>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5" w:name="_Toc17"/>
      <w:r>
        <w:t>Abstract</w:t>
      </w:r>
      <w:bookmarkEnd w:id="15"/>
    </w:p>
    <w:p>
      <w:pPr/>
      <w:r>
        <w:rPr/>
        <w:t xml:space="preserve">The chapter focuses on educational practices that bring together text and media formats students encounter in their free time with the text and media formats they encounter in the school context, looking at how these could provide an answer to the challenges involved in teaching literature in our digital era. Changing media habits call for new didactics in literature teaching. The study examines teachers' and students' experiences of working with text universe-based teaching designs in upper secondary school literature classes, with a focus on creative learning. The students in the study were accustomed to filmed narratives while they were not familiar with the greater changes in the narrative, and that they appreaciated the creative learning approaches developed in the process, while the teachers remained apprehensive about their impact on the more traditional subject teaching in the country.</w:t>
      </w:r>
    </w:p>
    <w:p>
      <w:pPr>
        <w:pStyle w:val="Heading1"/>
      </w:pPr>
      <w:bookmarkStart w:id="16" w:name="_Toc18"/>
      <w:r>
        <w:t>Outcome</w:t>
      </w:r>
      <w:bookmarkEnd w:id="16"/>
    </w:p>
    <w:p>
      <w:pPr/>
      <w:r>
        <w:rPr/>
        <w:t xml:space="preserve">The students in the study were accustomed to filmed narratives while they were not familiar with the greater changes in the narrative, and that they appreaciated the creative learning approaches developed in the process, while the teachers remained apprehensive about their impact on the more traditional subject teaching in the country.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B7A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2025-10-18T23:46:08+00:00</dcterms:created>
  <dcterms:modified xsi:type="dcterms:W3CDTF">2025-10-18T23:46:08+00:00</dcterms:modified>
</cp:coreProperties>
</file>

<file path=docProps/custom.xml><?xml version="1.0" encoding="utf-8"?>
<Properties xmlns="http://schemas.openxmlformats.org/officeDocument/2006/custom-properties" xmlns:vt="http://schemas.openxmlformats.org/officeDocument/2006/docPropsVTypes"/>
</file>