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Adequate digital competence: a close reading of the new national strategy for digitalization of the schools in Sweden</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14</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Fransson G.;Lindberg J.O.;Olofsson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Seminar.net</w:t>
      </w:r>
    </w:p>
    <w:p>
      <w:pPr>
        <w:pStyle w:val="Heading2"/>
      </w:pPr>
      <w:bookmarkStart w:id="12" w:name="_Toc13"/>
      <w:r>
        <w:t>Place</w:t>
      </w:r>
      <w:bookmarkEnd w:id="12"/>
    </w:p>
    <w:p>
      <w:pPr/>
      <w:r>
        <w:rPr/>
        <w:t xml:space="preserve">Norway</w:t>
      </w:r>
    </w:p>
    <w:p>
      <w:pPr>
        <w:pStyle w:val="Heading2"/>
      </w:pPr>
      <w:bookmarkStart w:id="13" w:name="_Toc14"/>
      <w:r>
        <w:t>Topics</w:t>
      </w:r>
      <w:bookmarkEnd w:id="13"/>
    </w:p>
    <w:p>
      <w:pPr/>
      <w:r>
        <w:rPr/>
        <w:t xml:space="preserve">Literacy and skills</w:t>
      </w:r>
    </w:p>
    <w:p>
      <w:pPr>
        <w:pStyle w:val="Heading2"/>
      </w:pPr>
      <w:bookmarkStart w:id="14" w:name="_Toc15"/>
      <w:r>
        <w:t>Sample</w:t>
      </w:r>
      <w:bookmarkEnd w:id="14"/>
    </w:p>
    <w:p>
      <w:pPr/>
      <w:r>
        <w:rPr/>
        <w:t xml:space="preserve">Swedish Government decision I:1 (2017). Supplement to Government decision I:1. (2017-10-19). And related documents.</w:t>
      </w:r>
    </w:p>
    <w:p>
      <w:pPr>
        <w:pStyle w:val="Heading2"/>
      </w:pPr>
      <w:bookmarkStart w:id="15" w:name="_Toc16"/>
      <w:r>
        <w:t>Implications For Educators About</w:t>
      </w:r>
      <w:bookmarkEnd w:id="15"/>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Definition of 'adequate digital competence'</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In this paper, the notion of ‘adequate digital competence’, as it is used in the 2017 Swedish strategy for digitalization of the school system, is in focus. Based on a close reading of the strategy, three dimensions are formulated for discussion: time, context, and interpretation. These dimensions open a more general discussion about the content of policies regarding digital competence. The notion of striving for an ‘adequate digital competence’ for children, students, teachers, school leaders, and other school staff is loaded with a variety of possible meanings. The strategy provides guidance in some aspects, but leaves a lot to local enactment of the strategy.</w:t>
      </w:r>
    </w:p>
    <w:p>
      <w:pPr>
        <w:pStyle w:val="Heading1"/>
      </w:pPr>
      <w:bookmarkStart w:id="20" w:name="_Toc21"/>
      <w:r>
        <w:t>Outcome</w:t>
      </w:r>
      <w:bookmarkEnd w:id="20"/>
    </w:p>
    <w:p>
      <w:pPr/>
      <w:r>
        <w:rPr/>
        <w:t xml:space="preserve">"The  use  of ‘adequate  digital competence’allowsdifferent  actors  to  interpret  the  meaning  of  what  is  to  be regarded as ‘adequate’, dependent on context and circumstances related to all aspects of the educational system and to different aspects of time.... As such, ‘adequate’places the enacting of a policy  in  the  hands  of  different  actors  in  the  K-12  school  system –the  local school authorities, the school leaders, the teachers, and all other staff members who areinvolved in education." (Authors, 225-226).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2025-10-21T11:12:48+00:00</dcterms:created>
  <dcterms:modified xsi:type="dcterms:W3CDTF">2025-10-21T11:12:48+00:00</dcterms:modified>
</cp:coreProperties>
</file>

<file path=docProps/custom.xml><?xml version="1.0" encoding="utf-8"?>
<Properties xmlns="http://schemas.openxmlformats.org/officeDocument/2006/custom-properties" xmlns:vt="http://schemas.openxmlformats.org/officeDocument/2006/docPropsVTypes"/>
</file>