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Combined Impact of Negative Lifestyle Factors on Cardiovascular Risk in Children: A Randomized Prospective Study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DOI</w:t>
      </w:r>
      <w:bookmarkEnd w:id="2"/>
    </w:p>
    <w:p>
      <w:pPr/>
      <w:r>
        <w:rPr/>
        <w:t xml:space="preserve">10.1016/j.jadohealth.2014.07.007</w:t>
      </w:r>
    </w:p>
    <w:p>
      <w:pPr>
        <w:pStyle w:val="Heading2"/>
      </w:pPr>
      <w:bookmarkStart w:id="3" w:name="_Toc4"/>
      <w:r>
        <w:t>Issued</w:t>
      </w:r>
      <w:bookmarkEnd w:id="3"/>
    </w:p>
    <w:p>
      <w:pPr/>
      <w:r>
        <w:rPr/>
        <w:t xml:space="preserve">2014</w:t>
      </w:r>
    </w:p>
    <w:p>
      <w:pPr>
        <w:pStyle w:val="Heading2"/>
      </w:pPr>
      <w:bookmarkStart w:id="4" w:name="_Toc5"/>
      <w:r>
        <w:t>Language</w:t>
      </w:r>
      <w:bookmarkEnd w:id="4"/>
    </w:p>
    <w:p>
      <w:pPr/>
      <w:r>
        <w:rPr/>
        <w:t xml:space="preserve">English</w:t>
      </w:r>
    </w:p>
    <w:p>
      <w:pPr>
        <w:pStyle w:val="Heading2"/>
      </w:pPr>
      <w:bookmarkStart w:id="5" w:name="_Toc6"/>
      <w:r>
        <w:t>Volume</w:t>
      </w:r>
      <w:bookmarkEnd w:id="5"/>
    </w:p>
    <w:p>
      <w:pPr/>
      <w:r>
        <w:rPr/>
        <w:t xml:space="preserve">55</w:t>
      </w:r>
    </w:p>
    <w:p>
      <w:pPr>
        <w:pStyle w:val="Heading2"/>
      </w:pPr>
      <w:bookmarkStart w:id="6" w:name="_Toc7"/>
      <w:r>
        <w:t>Issue</w:t>
      </w:r>
      <w:bookmarkEnd w:id="6"/>
    </w:p>
    <w:p>
      <w:pPr/>
      <w:r>
        <w:rPr/>
        <w:t xml:space="preserve">6</w:t>
      </w:r>
    </w:p>
    <w:p>
      <w:pPr>
        <w:pStyle w:val="Heading2"/>
      </w:pPr>
      <w:bookmarkStart w:id="7" w:name="_Toc8"/>
      <w:r>
        <w:t>Start Page</w:t>
      </w:r>
      <w:bookmarkEnd w:id="7"/>
    </w:p>
    <w:p>
      <w:pPr>
        <w:pStyle w:val="Heading2"/>
      </w:pPr>
      <w:bookmarkStart w:id="8" w:name="_Toc9"/>
      <w:r>
        <w:t>End Page</w:t>
      </w:r>
      <w:bookmarkEnd w:id="8"/>
    </w:p>
    <w:p>
      <w:pPr>
        <w:pStyle w:val="Heading2"/>
      </w:pPr>
      <w:bookmarkStart w:id="9" w:name="_Toc10"/>
      <w:r>
        <w:t>Authors</w:t>
      </w:r>
      <w:bookmarkEnd w:id="9"/>
    </w:p>
    <w:p>
      <w:pPr/>
      <w:r>
        <w:rPr/>
        <w:t xml:space="preserve">Meyer U.;Schindler C.;Bloesch T.;Schmocker E.;Zahner L.;Puder J.;Kriemler S.</w:t>
      </w:r>
    </w:p>
    <w:p>
      <w:pPr>
        <w:pStyle w:val="Heading2"/>
      </w:pPr>
      <w:bookmarkStart w:id="10" w:name="_Toc11"/>
      <w:r>
        <w:t>Type</w:t>
      </w:r>
      <w:bookmarkEnd w:id="10"/>
    </w:p>
    <w:p>
      <w:pPr/>
      <w:r>
        <w:rPr/>
        <w:t xml:space="preserve">Journal article</w:t>
      </w:r>
    </w:p>
    <w:p>
      <w:pPr>
        <w:pStyle w:val="Heading2"/>
      </w:pPr>
      <w:bookmarkStart w:id="11" w:name="_Toc12"/>
      <w:r>
        <w:t>Journal</w:t>
      </w:r>
      <w:bookmarkEnd w:id="11"/>
    </w:p>
    <w:p>
      <w:pPr/>
      <w:r>
        <w:rPr/>
        <w:t xml:space="preserve">Journal of Adolescent Health</w:t>
      </w:r>
    </w:p>
    <w:p>
      <w:pPr>
        <w:pStyle w:val="Heading2"/>
      </w:pPr>
      <w:bookmarkStart w:id="12" w:name="_Toc13"/>
      <w:r>
        <w:t>Publisher</w:t>
      </w:r>
      <w:bookmarkEnd w:id="12"/>
    </w:p>
    <w:p>
      <w:pPr/>
      <w:r>
        <w:rPr/>
        <w:t xml:space="preserve">Elsevier BV</w:t>
      </w:r>
    </w:p>
    <w:p>
      <w:pPr>
        <w:pStyle w:val="Heading2"/>
      </w:pPr>
      <w:bookmarkStart w:id="13" w:name="_Toc14"/>
      <w:r>
        <w:t>Sample</w:t>
      </w:r>
      <w:bookmarkEnd w:id="13"/>
    </w:p>
    <w:p>
      <w:pPr/>
      <w:r>
        <w:rPr/>
        <w:t xml:space="preserve">School children age 6-13</w:t>
      </w:r>
    </w:p>
    <w:p>
      <w:pPr>
        <w:pStyle w:val="Heading2"/>
      </w:pPr>
      <w:bookmarkStart w:id="14" w:name="_Toc15"/>
      <w:r>
        <w:t>Implications For Parents About</w:t>
      </w:r>
      <w:bookmarkEnd w:id="14"/>
    </w:p>
    <w:p>
      <w:pPr/>
      <w:r>
        <w:rPr/>
        <w:t xml:space="preserve">Parental practices / parental mediation</w:t>
      </w:r>
    </w:p>
    <w:p>
      <w:pPr>
        <w:pStyle w:val="Heading1"/>
      </w:pPr>
      <w:bookmarkStart w:id="15" w:name="_Toc16"/>
      <w:r>
        <w:t>Abstract</w:t>
      </w:r>
      <w:bookmarkEnd w:id="15"/>
    </w:p>
    <w:p>
      <w:pPr/>
      <w:r>
        <w:rPr/>
        <w:t xml:space="preserve">Purpose: Negative lifestyle factors are known to be associated with increased cardiovascular risk
(CVR) in children, but research on their combined impact on a general population of children is
sparse. Therefore, we aimed to quantify the combined impact of easily assessable negative lifestyle
factors on the CVR scores of randomly selected children after 4 years.
Methods: Of the 540 randomly selected 6- to 13-year-old children, 502 children participated in a
baseline health assessment, and 64% were assessed again after 4 years. Measures included anthropometry,
fasting blood samples, and a health assessment questionnaire. Participants scored one point
for each negative lifestyle factor at baseline: overweight; physical inactivity; high media consumption;
little outdoor time; skipping breakfast; and having a parent who has ever smoked, is inactive, or
overweight. A CVR score at follow-up was constructed by averaging sex- and age-related z-scores of
waist circumference, blood pressure, glucose, inverted high-density lipoprotein, and triglycerides.
Results: The age-, sex-, pubertal stage-, and social classeadjusted probabilities (95% confidence interval)
for being in the highest CVR score tertile at follow-up for childrenwho had atmost one (n¼48),
two (n¼64), three (n¼56), four (n¼41), or five ormore (n¼14) risky lifestyle factorswere 15.4%(8.9e
25.3), 24.3% (17.4e32.8), 36.0% (28.6e44.2), 49.8% (38.6e61.0), and 63.5% (47.2e77.2), respectively.
Conclusions: Even in childhood, an accumulation of negative lifestyle factors is associated with
higher CVR scores after 4 years. These negative lifestyle factors are easy to assess in clinical practice
and allow early detection and prevention of CVR in childhood.</w:t>
      </w:r>
    </w:p>
    <w:p>
      <w:pPr>
        <w:pStyle w:val="Heading1"/>
      </w:pPr>
      <w:bookmarkStart w:id="16" w:name="_Toc17"/>
      <w:r>
        <w:t>Outcome</w:t>
      </w:r>
      <w:bookmarkEnd w:id="16"/>
    </w:p>
    <w:p>
      <w:pPr/>
      <w:r>
        <w:rPr/>
        <w:t xml:space="preserve">Media consumption has no direct effect on cardiovascular risk in children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19 Oct 2025</w:t>
    </w:r>
  </w:p>
  <w:p>
    <w:pPr/>
    <w:r>
      <w:rPr/>
      <w:t xml:space="preserve">Publication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2025-10-19T09:40:03+00:00</dcterms:created>
  <dcterms:modified xsi:type="dcterms:W3CDTF">2025-10-19T09:40:03+00:00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