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Inside the Mathematics Class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DOI</w:t>
      </w:r>
      <w:bookmarkEnd w:id="3"/>
    </w:p>
    <w:p>
      <w:pPr/>
      <w:r>
        <w:rPr/>
        <w:t xml:space="preserve">10.1007/978-3-319-79045-9</w:t>
      </w:r>
    </w:p>
    <w:p>
      <w:pPr>
        <w:pStyle w:val="Heading2"/>
      </w:pPr>
      <w:bookmarkStart w:id="4" w:name="_Toc5"/>
      <w:r>
        <w:t>Issued</w:t>
      </w:r>
      <w:bookmarkEnd w:id="4"/>
    </w:p>
    <w:p>
      <w:pPr/>
      <w:r>
        <w:rPr/>
        <w:t xml:space="preserve">2018</w:t>
      </w:r>
    </w:p>
    <w:p>
      <w:pPr>
        <w:pStyle w:val="Heading2"/>
      </w:pPr>
      <w:bookmarkStart w:id="5" w:name="_Toc6"/>
      <w:r>
        <w:t>Language</w:t>
      </w:r>
      <w:bookmarkEnd w:id="5"/>
    </w:p>
    <w:p>
      <w:pPr/>
      <w:r>
        <w:rPr/>
        <w:t xml:space="preserve">English</w:t>
      </w:r>
    </w:p>
    <w:p>
      <w:pPr>
        <w:pStyle w:val="Heading2"/>
      </w:pPr>
      <w:bookmarkStart w:id="6" w:name="_Toc7"/>
      <w:r>
        <w:t>Start Page</w:t>
      </w:r>
      <w:bookmarkEnd w:id="6"/>
    </w:p>
    <w:p>
      <w:pPr>
        <w:pStyle w:val="Heading2"/>
      </w:pPr>
      <w:bookmarkStart w:id="7" w:name="_Toc8"/>
      <w:r>
        <w:t>End Page</w:t>
      </w:r>
      <w:bookmarkEnd w:id="7"/>
    </w:p>
    <w:p>
      <w:pPr>
        <w:pStyle w:val="Heading2"/>
      </w:pPr>
      <w:bookmarkStart w:id="8" w:name="_Toc9"/>
      <w:r>
        <w:t>Editors</w:t>
      </w:r>
      <w:bookmarkEnd w:id="8"/>
    </w:p>
    <w:p>
      <w:pPr/>
      <w:r>
        <w:rPr/>
        <w:t xml:space="preserve">Gellert U.;Knipping Ch.;Straehler-Pohl H.</w:t>
      </w:r>
    </w:p>
    <w:p>
      <w:pPr>
        <w:pStyle w:val="Heading2"/>
      </w:pPr>
      <w:bookmarkStart w:id="9" w:name="_Toc10"/>
      <w:r>
        <w:t>Authors</w:t>
      </w:r>
      <w:bookmarkEnd w:id="9"/>
    </w:p>
    <w:p>
      <w:pPr/>
      <w:r>
        <w:rPr/>
        <w:t xml:space="preserve">Norén E.</w:t>
      </w:r>
    </w:p>
    <w:p>
      <w:pPr>
        <w:pStyle w:val="Heading2"/>
      </w:pPr>
      <w:bookmarkStart w:id="10" w:name="_Toc11"/>
      <w:r>
        <w:t>Type</w:t>
      </w:r>
      <w:bookmarkEnd w:id="10"/>
    </w:p>
    <w:p>
      <w:pPr/>
      <w:r>
        <w:rPr/>
        <w:t xml:space="preserve">Book chapter</w:t>
      </w:r>
    </w:p>
    <w:p>
      <w:pPr>
        <w:pStyle w:val="Heading2"/>
      </w:pPr>
      <w:bookmarkStart w:id="11" w:name="_Toc12"/>
      <w:r>
        <w:t>Book title</w:t>
      </w:r>
      <w:bookmarkEnd w:id="11"/>
    </w:p>
    <w:p>
      <w:pPr/>
      <w:r>
        <w:rPr/>
        <w:t xml:space="preserve">nside the Mathematics Class: Sociological Perspectives on Participation, Inclusion, and Enhancement</w:t>
      </w:r>
    </w:p>
    <w:p>
      <w:pPr>
        <w:pStyle w:val="Heading2"/>
      </w:pPr>
      <w:bookmarkStart w:id="12" w:name="_Toc13"/>
      <w:r>
        <w:t>Publisher</w:t>
      </w:r>
      <w:bookmarkEnd w:id="12"/>
    </w:p>
    <w:p>
      <w:pPr/>
      <w:r>
        <w:rPr/>
        <w:t xml:space="preserve">Springer International Publishing</w:t>
      </w:r>
    </w:p>
    <w:p>
      <w:pPr>
        <w:pStyle w:val="Heading2"/>
      </w:pPr>
      <w:bookmarkStart w:id="13" w:name="_Toc14"/>
      <w:r>
        <w:t>Place</w:t>
      </w:r>
      <w:bookmarkEnd w:id="13"/>
    </w:p>
    <w:p>
      <w:pPr/>
      <w:r>
        <w:rPr/>
        <w:t xml:space="preserve">Cham</w:t>
      </w:r>
    </w:p>
    <w:p>
      <w:pPr>
        <w:pStyle w:val="Heading2"/>
      </w:pPr>
      <w:bookmarkStart w:id="14" w:name="_Toc15"/>
      <w:r>
        <w:t>Topics</w:t>
      </w:r>
      <w:bookmarkEnd w:id="14"/>
    </w:p>
    <w:p>
      <w:pPr>
        <w:numPr>
          <w:ilvl w:val="0"/>
          <w:numId w:val="5"/>
        </w:numPr>
      </w:pPr>
      <w:r>
        <w:rPr/>
        <w:t xml:space="preserve">Learning</w:t>
      </w:r>
    </w:p>
    <w:p>
      <w:pPr>
        <w:numPr>
          <w:ilvl w:val="0"/>
          <w:numId w:val="5"/>
        </w:numPr>
      </w:pPr>
      <w:r>
        <w:rPr/>
        <w:t xml:space="preserve">Internet usage, practices and engagement</w:t>
      </w:r>
    </w:p>
    <w:p>
      <w:pPr>
        <w:numPr>
          <w:ilvl w:val="0"/>
          <w:numId w:val="5"/>
        </w:numPr>
      </w:pPr>
      <w:r>
        <w:rPr/>
        <w:t xml:space="preserve">Access, inequalities and vulnerabilities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15" w:name="_Toc16"/>
      <w:r>
        <w:t>Sample</w:t>
      </w:r>
      <w:bookmarkEnd w:id="15"/>
    </w:p>
    <w:p>
      <w:pPr/>
      <w:r>
        <w:rPr/>
        <w:t xml:space="preserve">24 children aged 6 to 13  in three parallel pre-school classes in Sweden.</w:t>
      </w:r>
    </w:p>
    <w:p>
      <w:pPr>
        <w:pStyle w:val="Heading2"/>
      </w:pPr>
      <w:bookmarkStart w:id="16" w:name="_Toc17"/>
      <w:r>
        <w:t>Implications For Educators About</w:t>
      </w:r>
      <w:bookmarkEnd w:id="16"/>
    </w:p>
    <w:p>
      <w:pPr>
        <w:numPr>
          <w:ilvl w:val="0"/>
          <w:numId w:val="5"/>
        </w:numPr>
      </w:pPr>
      <w:r>
        <w:rPr/>
        <w:t xml:space="preserve">STEM Education</w:t>
      </w:r>
    </w:p>
    <w:p>
      <w:pPr>
        <w:numPr>
          <w:ilvl w:val="0"/>
          <w:numId w:val="5"/>
        </w:numPr>
      </w:pPr>
      <w:r>
        <w:rPr/>
        <w:t xml:space="preserve">Professional development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1"/>
      </w:pPr>
      <w:bookmarkStart w:id="17" w:name="_Toc18"/>
      <w:r>
        <w:t>Abstract</w:t>
      </w:r>
      <w:bookmarkEnd w:id="17"/>
    </w:p>
    <w:p>
      <w:pPr/>
      <w:r>
        <w:rPr/>
        <w:t xml:space="preserve">By taking a socio-political stance towards the positive adoption of iPads to advance mathematical learning, this paper explores mathematical practices in a Swedish preschool class (children aged six to seven) where each young student was provided with a digital tablet. The focus is on how the students’ agency or boundaries emerge in the relational practices between the students and the materials: hands-on-manipulatives as well as digital technology. The paper adopts a socio-material perspective for the analysis of the practices. Both digital technology and the more traditional hands-on-manipulatives are exemplifying materials in the intertwining of human and non-human agency.</w:t>
      </w:r>
    </w:p>
    <w:p>
      <w:pPr>
        <w:pStyle w:val="Heading1"/>
      </w:pPr>
      <w:bookmarkStart w:id="18" w:name="_Toc19"/>
      <w:r>
        <w:t>Outcome</w:t>
      </w:r>
      <w:bookmarkEnd w:id="18"/>
    </w:p>
    <w:p>
      <w:pPr/>
      <w:r>
        <w:rPr/>
        <w:t xml:space="preserve">"Both digital technology and the more traditional hands-on-manipulatives are exemplifying materials in the intertwining of human and non-human agency." (Author,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7D5A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2025-10-21T01:51:19+00:00</dcterms:created>
  <dcterms:modified xsi:type="dcterms:W3CDTF">2025-10-21T01:51:19+00:00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