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Familie, Peergroup und Schule als Vermittler von Medienkompetenz. Wo Heranwachsende die sichere Nutzung des Internets lernen</w:t>
      </w:r>
    </w:p>
    <w:p>
      <w:pPr>
        <w:pStyle w:val="Title"/>
      </w:pPr>
      <w:r>
        <w:t>Engl. transl.: Family, peer group and school as mediators of media competence. Where adolescents learn how to use the Internet safely</w:t>
      </w:r>
    </w:p>
    <w:p>
      <w:pPr>
        <w:pStyle w:val="Heading1"/>
      </w:pPr>
      <w:bookmarkStart w:id="1" w:name="_Toc3"/>
      <w:r>
        <w:t>Keywords</w:t>
      </w:r>
      <w:bookmarkEnd w:id="1"/>
    </w:p>
    <w:p>
      <w:pPr>
        <w:numPr>
          <w:ilvl w:val="0"/>
          <w:numId w:val="5"/>
        </w:numPr>
      </w:pPr>
      <w:r>
        <w:rPr/>
        <w:t xml:space="preserve">media literacy</w:t>
      </w:r>
    </w:p>
    <w:p>
      <w:pPr>
        <w:numPr>
          <w:ilvl w:val="0"/>
          <w:numId w:val="5"/>
        </w:numPr>
      </w:pPr>
      <w:r>
        <w:rPr/>
        <w:t xml:space="preserve">media education</w:t>
      </w:r>
    </w:p>
    <w:p>
      <w:pPr>
        <w:numPr>
          <w:ilvl w:val="0"/>
          <w:numId w:val="5"/>
        </w:numPr>
      </w:pPr>
      <w:r>
        <w:rPr/>
        <w:t xml:space="preserve">mediation</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Hermida M.</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Media Perspektiven</w:t>
      </w:r>
    </w:p>
    <w:p>
      <w:pPr>
        <w:pStyle w:val="Heading2"/>
      </w:pPr>
      <w:bookmarkStart w:id="12" w:name="_Toc14"/>
      <w:r>
        <w:t>Topics</w:t>
      </w:r>
      <w:bookmarkEnd w:id="12"/>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3" w:name="_Toc15"/>
      <w:r>
        <w:t>Sample</w:t>
      </w:r>
      <w:bookmarkEnd w:id="13"/>
    </w:p>
    <w:p>
      <w:pPr/>
      <w:r>
        <w:rPr/>
        <w:t xml:space="preserve">1000 adolscents between 9 and 16 years old</w:t>
      </w:r>
    </w:p>
    <w:p>
      <w:pPr>
        <w:pStyle w:val="Heading2"/>
      </w:pPr>
      <w:bookmarkStart w:id="14" w:name="_Toc16"/>
      <w:r>
        <w:t>Implications For Parents About</w:t>
      </w:r>
      <w:bookmarkEnd w:id="14"/>
    </w:p>
    <w:p>
      <w:pPr/>
      <w:r>
        <w:rPr/>
        <w:t xml:space="preserve">Parental practices / parental mediation</w:t>
      </w:r>
    </w:p>
    <w:p>
      <w:pPr>
        <w:pStyle w:val="Heading2"/>
      </w:pPr>
      <w:bookmarkStart w:id="15" w:name="_Toc17"/>
      <w:r>
        <w:t>Implications For Educators About</w:t>
      </w:r>
      <w:bookmarkEnd w:id="15"/>
    </w:p>
    <w:p>
      <w:pPr/>
      <w:r>
        <w:rPr/>
        <w:t xml:space="preserve">Digital citizenship</w:t>
      </w:r>
    </w:p>
    <w:p>
      <w:pPr>
        <w:pStyle w:val="Heading1"/>
      </w:pPr>
      <w:bookmarkStart w:id="16" w:name="_Toc18"/>
      <w:r>
        <w:t>Abstract</w:t>
      </w:r>
      <w:bookmarkEnd w:id="16"/>
    </w:p>
    <w:p>
      <w:pPr/>
      <w:r>
        <w:rPr/>
        <w:t xml:space="preserve">What role do school, family and peer group play
in the development of media competence with regard to
safe use of the Internet? The findings of this
study confirm the high importance of the family and
show how the relationships between the various socialization
socialization instances change over the course of
time. Finally, recommendations for media education are formulated.</w:t>
      </w:r>
    </w:p>
    <w:p>
      <w:pPr>
        <w:pStyle w:val="Heading1"/>
      </w:pPr>
      <w:bookmarkStart w:id="17" w:name="_Toc19"/>
      <w:r>
        <w:t>Outcome</w:t>
      </w:r>
      <w:bookmarkEnd w:id="17"/>
    </w:p>
    <w:p>
      <w:pPr/>
      <w:r>
        <w:rPr/>
        <w:t xml:space="preserve">The differentiation into the three contexts family, school and peer group shows that the informal context of the family plays the most important role for developping media literacy. In second place is the formal context of schools and only in third place is the informal context of the peer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E0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2025-10-21T01:51:18+00:00</dcterms:created>
  <dcterms:modified xsi:type="dcterms:W3CDTF">2025-10-21T01:51:18+00:00</dcterms:modified>
</cp:coreProperties>
</file>

<file path=docProps/custom.xml><?xml version="1.0" encoding="utf-8"?>
<Properties xmlns="http://schemas.openxmlformats.org/officeDocument/2006/custom-properties" xmlns:vt="http://schemas.openxmlformats.org/officeDocument/2006/docPropsVTypes"/>
</file>