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Monitoring screen use: a qualitative exploration of family strategies in Swiss homes</w:t>
      </w:r>
    </w:p>
    <w:p>
      <w:pPr>
        <w:pStyle w:val="Heading1"/>
      </w:pPr>
      <w:bookmarkStart w:id="1" w:name="_Toc2"/>
      <w:r>
        <w:t>Details</w:t>
      </w:r>
      <w:bookmarkEnd w:id="1"/>
    </w:p>
    <w:p>
      <w:pPr>
        <w:pStyle w:val="Heading2"/>
      </w:pPr>
      <w:bookmarkStart w:id="2" w:name="_Toc3"/>
      <w:r>
        <w:t>DOI</w:t>
      </w:r>
      <w:bookmarkEnd w:id="2"/>
    </w:p>
    <w:p>
      <w:pPr/>
      <w:r>
        <w:rPr/>
        <w:t xml:space="preserve">10.1515/ijamh-2016-0146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Piguet C.;Barrense-Dias Y.;Ramelet A.;Surís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Adolescent Medicine and Health</w:t>
      </w:r>
    </w:p>
    <w:p>
      <w:pPr>
        <w:pStyle w:val="Heading2"/>
      </w:pPr>
      <w:bookmarkStart w:id="10" w:name="_Toc11"/>
      <w:r>
        <w:t>Publisher</w:t>
      </w:r>
      <w:bookmarkEnd w:id="10"/>
    </w:p>
    <w:p>
      <w:pPr/>
      <w:r>
        <w:rPr/>
        <w:t xml:space="preserve">Walter de Gruyter GmbH</w:t>
      </w:r>
    </w:p>
    <w:p>
      <w:pPr>
        <w:pStyle w:val="Heading2"/>
      </w:pPr>
      <w:bookmarkStart w:id="11" w:name="_Toc12"/>
      <w:r>
        <w:t>Sample</w:t>
      </w:r>
      <w:bookmarkEnd w:id="11"/>
    </w:p>
    <w:p>
      <w:pPr/>
      <w:r>
        <w:rPr/>
        <w:t xml:space="preserve">Thirty-five adolescents (19 females), aged between 11 and 18 years, and 27 parents (17 mothers) from the French-speaking part of Switzerland</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Family and Children welfares, Public and private digital literacy initiatives</w:t>
      </w:r>
    </w:p>
    <w:p>
      <w:pPr>
        <w:pStyle w:val="Heading1"/>
      </w:pPr>
      <w:bookmarkStart w:id="15" w:name="_Toc16"/>
      <w:r>
        <w:t>Abstract</w:t>
      </w:r>
      <w:bookmarkEnd w:id="15"/>
    </w:p>
    <w:p>
      <w:pPr/>
      <w:r>
        <w:rPr/>
        <w:t xml:space="preserve">Background
Digital technologies make family managing more complicated, as parents are worried about their children’s well-being and want to protect them from excessive Internet use.
Objective
The objective of this study was to investigate both youths’ and parents’ views on strategies and rules set at home to regulate and monitor Internet use.
Subjects
Thirty-five adolescents (19 females), aged between 11 and 18 years, and 27 parents (17 mothers) from the French-speaking part of Switzerland participated in different focus groups.
Methods
Using a qualitative approach, results were analyzed using the grounded theory.
Results
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
Conclusions
It could be recommended to parents to keep striving for an environment contributing to open discussion and exchange on Internet use, even if their digital literacy is lower than their youngsters’ are.</w:t>
      </w:r>
    </w:p>
    <w:p>
      <w:pPr>
        <w:pStyle w:val="Heading1"/>
      </w:pPr>
      <w:bookmarkStart w:id="16" w:name="_Toc17"/>
      <w:r>
        <w:t>Outcome</w:t>
      </w:r>
      <w:bookmarkEnd w:id="16"/>
    </w:p>
    <w:p>
      <w:pPr/>
      <w:r>
        <w:rPr/>
        <w:t xml:space="preserve">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2025-10-18T20:11:50+00:00</dcterms:created>
  <dcterms:modified xsi:type="dcterms:W3CDTF">2025-10-18T20:11:50+00:00</dcterms:modified>
</cp:coreProperties>
</file>

<file path=docProps/custom.xml><?xml version="1.0" encoding="utf-8"?>
<Properties xmlns="http://schemas.openxmlformats.org/officeDocument/2006/custom-properties" xmlns:vt="http://schemas.openxmlformats.org/officeDocument/2006/docPropsVTypes"/>
</file>