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Digital didactical designs: teaching and learning in CrossActionSpaces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4"/>
      <w:r>
        <w:t>Issued</w:t>
      </w:r>
      <w:bookmarkEnd w:id="3"/>
    </w:p>
    <w:p>
      <w:pPr/>
      <w:r>
        <w:rPr/>
        <w:t xml:space="preserve">2015</w:t>
      </w:r>
    </w:p>
    <w:p>
      <w:pPr>
        <w:pStyle w:val="Heading2"/>
      </w:pPr>
      <w:bookmarkStart w:id="4" w:name="_Toc5"/>
      <w:r>
        <w:t>Language</w:t>
      </w:r>
      <w:bookmarkEnd w:id="4"/>
    </w:p>
    <w:p>
      <w:pPr/>
      <w:r>
        <w:rPr/>
        <w:t xml:space="preserve">English</w:t>
      </w:r>
    </w:p>
    <w:p>
      <w:pPr>
        <w:pStyle w:val="Heading2"/>
      </w:pPr>
      <w:bookmarkStart w:id="5" w:name="_Toc6"/>
      <w:r>
        <w:t>Authors</w:t>
      </w:r>
      <w:bookmarkEnd w:id="5"/>
    </w:p>
    <w:p>
      <w:pPr/>
      <w:r>
        <w:rPr/>
        <w:t xml:space="preserve">Jahnke I.</w:t>
      </w:r>
    </w:p>
    <w:p>
      <w:pPr>
        <w:pStyle w:val="Heading2"/>
      </w:pPr>
      <w:bookmarkStart w:id="6" w:name="_Toc7"/>
      <w:r>
        <w:t>Type</w:t>
      </w:r>
      <w:bookmarkEnd w:id="6"/>
    </w:p>
    <w:p>
      <w:pPr/>
      <w:r>
        <w:rPr/>
        <w:t xml:space="preserve">Book</w:t>
      </w:r>
    </w:p>
    <w:p>
      <w:pPr>
        <w:pStyle w:val="Heading2"/>
      </w:pPr>
      <w:bookmarkStart w:id="7" w:name="_Toc8"/>
      <w:r>
        <w:t>Book title</w:t>
      </w:r>
      <w:bookmarkEnd w:id="7"/>
    </w:p>
    <w:p>
      <w:pPr/>
      <w:r>
        <w:rPr/>
        <w:t xml:space="preserve">Digital didactical designs: teaching and learning in CrossActionSpaces</w:t>
      </w:r>
    </w:p>
    <w:p>
      <w:pPr>
        <w:pStyle w:val="Heading2"/>
      </w:pPr>
      <w:bookmarkStart w:id="8" w:name="_Toc9"/>
      <w:r>
        <w:t>Publisher</w:t>
      </w:r>
      <w:bookmarkEnd w:id="8"/>
    </w:p>
    <w:p>
      <w:pPr/>
      <w:r>
        <w:rPr/>
        <w:t xml:space="preserve">Routledge</w:t>
      </w:r>
    </w:p>
    <w:p>
      <w:pPr>
        <w:pStyle w:val="Heading2"/>
      </w:pPr>
      <w:bookmarkStart w:id="9" w:name="_Toc10"/>
      <w:r>
        <w:t>Topics</w:t>
      </w:r>
      <w:bookmarkEnd w:id="9"/>
    </w:p>
    <w:p>
      <w:pPr>
        <w:numPr>
          <w:ilvl w:val="0"/>
          <w:numId w:val="5"/>
        </w:numPr>
      </w:pPr>
      <w:r>
        <w:rPr/>
        <w:t xml:space="preserve">Learning</w:t>
      </w:r>
    </w:p>
    <w:p>
      <w:pPr>
        <w:numPr>
          <w:ilvl w:val="0"/>
          <w:numId w:val="5"/>
        </w:numPr>
      </w:pPr>
      <w:r>
        <w:rPr/>
        <w:t xml:space="preserve">Internet usage, practices and engagement</w:t>
      </w:r>
    </w:p>
    <w:p>
      <w:pPr>
        <w:numPr>
          <w:ilvl w:val="0"/>
          <w:numId w:val="5"/>
        </w:numPr>
      </w:pPr>
      <w:r>
        <w:rPr/>
        <w:t xml:space="preserve">Literacy and skills</w:t>
      </w:r>
    </w:p>
    <w:p>
      <w:pPr>
        <w:numPr>
          <w:ilvl w:val="0"/>
          <w:numId w:val="5"/>
        </w:numPr>
      </w:pPr>
      <w:r>
        <w:rPr/>
        <w:t xml:space="preserve">Digital and socio-cultural environment</w:t>
      </w:r>
    </w:p>
    <w:p>
      <w:pPr>
        <w:pStyle w:val="Heading2"/>
      </w:pPr>
      <w:bookmarkStart w:id="10" w:name="_Toc11"/>
      <w:r>
        <w:t>Sample</w:t>
      </w:r>
      <w:bookmarkEnd w:id="10"/>
    </w:p>
    <w:p>
      <w:pPr/>
      <w:r>
        <w:rPr/>
        <w:t xml:space="preserve">"</w:t>
      </w:r>
    </w:p>
    <w:p>
      <w:pPr>
        <w:pStyle w:val="Heading2"/>
      </w:pPr>
      <w:bookmarkStart w:id="11" w:name="_Toc12"/>
      <w:r>
        <w:t>Implications For Educators About</w:t>
      </w:r>
      <w:bookmarkEnd w:id="11"/>
    </w:p>
    <w:p>
      <w:pPr>
        <w:numPr>
          <w:ilvl w:val="0"/>
          <w:numId w:val="5"/>
        </w:numPr>
      </w:pPr>
      <w:r>
        <w:rPr/>
        <w:t xml:space="preserve">Digital citizenship</w:t>
      </w:r>
    </w:p>
    <w:p>
      <w:pPr>
        <w:numPr>
          <w:ilvl w:val="0"/>
          <w:numId w:val="5"/>
        </w:numPr>
      </w:pPr>
      <w:r>
        <w:rPr/>
        <w:t xml:space="preserve">Professional development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12" w:name="_Toc13"/>
      <w:r>
        <w:t>Implications For Policy Makers About</w:t>
      </w:r>
      <w:bookmarkEnd w:id="12"/>
    </w:p>
    <w:p>
      <w:pPr/>
      <w:r>
        <w:rPr/>
        <w:t xml:space="preserve">Other</w:t>
      </w:r>
    </w:p>
    <w:p>
      <w:pPr>
        <w:pStyle w:val="Heading2"/>
      </w:pPr>
      <w:bookmarkStart w:id="13" w:name="_Toc14"/>
      <w:r>
        <w:t>Other PolicyMaker Implication</w:t>
      </w:r>
      <w:bookmarkEnd w:id="13"/>
    </w:p>
    <w:p>
      <w:pPr/>
      <w:r>
        <w:rPr/>
        <w:t xml:space="preserve">Views of contemporary education; theories of socio-technical systems and behavior patterns</w:t>
      </w:r>
    </w:p>
    <w:p>
      <w:pPr>
        <w:pStyle w:val="Heading2"/>
      </w:pPr>
      <w:bookmarkStart w:id="14" w:name="_Toc15"/>
      <w:r>
        <w:t>Implications For Stakeholders About</w:t>
      </w:r>
      <w:bookmarkEnd w:id="14"/>
    </w:p>
    <w:p>
      <w:pPr/>
      <w:r>
        <w:rPr/>
        <w:t xml:space="preserve">Researchers</w:t>
      </w:r>
    </w:p>
    <w:p>
      <w:pPr>
        <w:pStyle w:val="Heading1"/>
      </w:pPr>
      <w:bookmarkStart w:id="15" w:name="_Toc16"/>
      <w:r>
        <w:t>Abstract</w:t>
      </w:r>
      <w:bookmarkEnd w:id="15"/>
    </w:p>
    <w:p>
      <w:pPr/>
      <w:r>
        <w:rPr/>
        <w:t xml:space="preserve">As web-enabled mobile technologies become increasingly integrated into formal learning environments, the fields of education and ICT (information and communication technology) are merging to create a new kind of classroom: CrossActionSpaces. Grounding its exploration of these co-located communication spaces in global empirical research, Digital Didactical Designs facilitates the development of teachers into collaborative designers and evaluators of technology-driven teaching and learning experiences—learning through reflective making. The Digital Didactical Design model promotes deep learning expeditions with a framework that encourages teachers and researchers to study, explore, and analyze the applied designs-in-practice. The book presents critical views of contemporary education, theories of socio-technical systems and behavior patterns, and concludes with a look into the conceptual and practical prototypes that might emerge in schools and universities in the near future.</w:t>
      </w:r>
    </w:p>
    <w:p>
      <w:pPr>
        <w:pStyle w:val="Heading1"/>
      </w:pPr>
      <w:bookmarkStart w:id="16" w:name="_Toc17"/>
      <w:r>
        <w:t>Outcome</w:t>
      </w:r>
      <w:bookmarkEnd w:id="16"/>
    </w:p>
    <w:p>
      <w:pPr/>
      <w:r>
        <w:rPr/>
        <w:t xml:space="preserve">"Digital Didactical Designs facilitates the development of teachers into collaborative designers and evaluators of technology-driven teaching and learning experiences—learning through reflective making. The Digital Didactical Design model promotes deep learning expeditions with a framework that encourages teachers and researchers to study, explore, and analyze the applied designs-in-practice. The book presents critical views of contemporary education, theories of socio-technical systems and behavior patterns, and concludes with a look into the conceptual and practical prototypes that might emerge in schools and universities in the near future." (Author, in Abstract)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FC1F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2025-10-18T08:48:53+00:00</dcterms:created>
  <dcterms:modified xsi:type="dcterms:W3CDTF">2025-10-18T08:48:53+00:00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