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Students Writing History Using Traditional and Digital Archives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12</w:t>
      </w:r>
    </w:p>
    <w:p>
      <w:pPr>
        <w:pStyle w:val="Heading2"/>
      </w:pPr>
      <w:bookmarkStart w:id="6" w:name="_Toc7"/>
      <w:r>
        <w:t>Issue</w:t>
      </w:r>
      <w:bookmarkEnd w:id="6"/>
    </w:p>
    <w:p>
      <w:pPr/>
      <w:r>
        <w:rPr/>
        <w:t xml:space="preserve">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Nygren T.</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Human IT</w:t>
      </w:r>
    </w:p>
    <w:p>
      <w:pPr>
        <w:pStyle w:val="Heading2"/>
      </w:pPr>
      <w:bookmarkStart w:id="12" w:name="_Toc13"/>
      <w:r>
        <w:t>Publisher</w:t>
      </w:r>
      <w:bookmarkEnd w:id="12"/>
    </w:p>
    <w:p>
      <w:pPr/>
      <w:r>
        <w:rPr/>
        <w:t xml:space="preserve">University of Borås</w:t>
      </w:r>
    </w:p>
    <w:p>
      <w:pPr>
        <w:pStyle w:val="Heading2"/>
      </w:pPr>
      <w:bookmarkStart w:id="13" w:name="_Toc14"/>
      <w:r>
        <w:t>Place</w:t>
      </w:r>
      <w:bookmarkEnd w:id="13"/>
    </w:p>
    <w:p>
      <w:pPr/>
      <w:r>
        <w:rPr/>
        <w:t xml:space="preserve">Borås, Sweden</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5" w:name="_Toc16"/>
      <w:r>
        <w:t>Sample</w:t>
      </w:r>
      <w:bookmarkEnd w:id="15"/>
    </w:p>
    <w:p>
      <w:pPr/>
      <w:r>
        <w:rPr/>
        <w:t xml:space="preserve">"The students who participated in this study, ages 18 and 19, were all upper secondary students in advanced elective courses in history. The teaching studied took place during their second and third (i.e., last) year of gymnasium (Swedish upper secondary school)." (Author, 84)</w:t>
      </w:r>
    </w:p>
    <w:p>
      <w:pPr>
        <w:pStyle w:val="Heading2"/>
      </w:pPr>
      <w:bookmarkStart w:id="16" w:name="_Toc17"/>
      <w:r>
        <w:t>Implications For Educators About</w:t>
      </w:r>
      <w:bookmarkEnd w:id="16"/>
    </w:p>
    <w:p>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Impact of digital tools on students' historical thinking</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This study shows that upper secondary students’ historical writing may be influenced by their use of sources from traditional archives versus their use of digital sources in databases. A qualitative approach, theoretical perspectives, and historical empathy seem to be stimulated primarily by using traditional archives and print sources, while digital archives and sources, in contrast, stimulate the use of quantitative data and a more social scientific approach. The results indicate a historiographical shift in students’ historical thinking, which researchers of history education need to consider in a digital era. The results of this study call for reflections in history teaching to make it possible for students to learn and experience the double nature of history as part of the humanities and social sciences.</w:t>
      </w:r>
    </w:p>
    <w:p>
      <w:pPr>
        <w:pStyle w:val="Heading1"/>
      </w:pPr>
      <w:bookmarkStart w:id="21" w:name="_Toc22"/>
      <w:r>
        <w:t>Outcome</w:t>
      </w:r>
      <w:bookmarkEnd w:id="21"/>
    </w:p>
    <w:p>
      <w:pPr/>
      <w:r>
        <w:rPr/>
        <w:t xml:space="preserve">"The results indicate a historiographical shift in students’ historical thinking, which researchers of history education need to consider in a digital era. The results of this study call for reflections in history teaching to make it possible for students to learn and experience the double nature of history as part of the humanities and social sciences." (Author,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3A3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2025-10-17T23:30:57+00:00</dcterms:created>
  <dcterms:modified xsi:type="dcterms:W3CDTF">2025-10-17T23:30:57+00:00</dcterms:modified>
</cp:coreProperties>
</file>

<file path=docProps/custom.xml><?xml version="1.0" encoding="utf-8"?>
<Properties xmlns="http://schemas.openxmlformats.org/officeDocument/2006/custom-properties" xmlns:vt="http://schemas.openxmlformats.org/officeDocument/2006/docPropsVTypes"/>
</file>