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Re-shaping of writing in the digital age: a study of pupils' writing with different resources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2014</w:t></w:r></w:p><w:p><w:pPr><w:pStyle w:val="Heading2"/></w:pPr><w:bookmarkStart w:id="3" w:name="_Toc4"/><w:r><w:t>Issued</w:t></w:r><w:bookmarkEnd w:id="3"/></w:p><w:p><w:pPr/><w:r><w:rPr/><w:t xml:space="preserve">2014</w:t></w:r></w:p><w:p><w:pPr><w:pStyle w:val="Heading2"/></w:pPr><w:bookmarkStart w:id="4" w:name="_Toc5"/><w:r><w:t>Language</w:t></w:r><w:bookmarkEnd w:id="4"/></w:p><w:p><w:pPr/><w:r><w:rPr/><w:t xml:space="preserve">English</w:t></w:r></w:p><w:p><w:pPr><w:pStyle w:val="Heading2"/></w:pPr><w:bookmarkStart w:id="5" w:name="_Toc6"/><w:r><w:t>Volume</w:t></w:r><w:bookmarkEnd w:id="5"/></w:p><w:p><w:pPr/><w:r><w:rPr/><w:t xml:space="preserve">9</w:t></w:r></w:p><w:p><w:pPr><w:pStyle w:val="Heading2"/></w:pPr><w:bookmarkStart w:id="6" w:name="_Toc7"/><w:r><w:t>Issue</w:t></w:r><w:bookmarkEnd w:id="6"/></w:p><w:p><w:pPr/><w:r><w:rPr/><w:t xml:space="preserve">3</w:t></w:r></w:p><w:p><w:pPr><w:pStyle w:val="Heading2"/></w:pPr><w:bookmarkStart w:id="7" w:name="_Toc8"/><w:r><w:t>Start Page</w:t></w:r><w:bookmarkEnd w:id="7"/></w:p><w:p><w:pPr><w:pStyle w:val="Heading2"/></w:pPr><w:bookmarkStart w:id="8" w:name="_Toc9"/><w:r><w:t>End Page</w:t></w:r><w:bookmarkEnd w:id="8"/></w:p><w:p><w:pPr><w:pStyle w:val="Heading2"/></w:pPr><w:bookmarkStart w:id="9" w:name="_Toc10"/><w:r><w:t>Authors</w:t></w:r><w:bookmarkEnd w:id="9"/></w:p><w:p><w:pPr/><w:r><w:rPr/><w:t xml:space="preserve">Åkerfeldt A.</w:t></w:r></w:p><w:p><w:pPr><w:pStyle w:val="Heading2"/></w:pPr><w:bookmarkStart w:id="10" w:name="_Toc11"/><w:r><w:t>Type</w:t></w:r><w:bookmarkEnd w:id="10"/></w:p><w:p><w:pPr/><w:r><w:rPr/><w:t xml:space="preserve">Journal article</w:t></w:r></w:p><w:p><w:pPr><w:pStyle w:val="Heading2"/></w:pPr><w:bookmarkStart w:id="11" w:name="_Toc12"/><w:r><w:t>Journal</w:t></w:r><w:bookmarkEnd w:id="11"/></w:p><w:p><w:pPr/><w:r><w:rPr/><w:t xml:space="preserve">Nordic Journal of Digital Literacy</w:t></w:r></w:p><w:p><w:pPr><w:pStyle w:val="Heading2"/></w:pPr><w:bookmarkStart w:id="12" w:name="_Toc13"/><w:r><w:t>Publisher</w:t></w:r><w:bookmarkEnd w:id="12"/></w:p><w:p><w:pPr/><w:r><w:rPr/><w:t xml:space="preserve">Universitetsforlaget</w:t></w:r></w:p><w:p><w:pPr><w:pStyle w:val="Heading2"/></w:pPr><w:bookmarkStart w:id="13" w:name="_Toc14"/><w:r><w:t>Place</w:t></w:r><w:bookmarkEnd w:id="13"/></w:p><w:p><w:pPr/><w:r><w:rPr/><w:t xml:space="preserve">Oslo, Norway</w:t></w:r></w:p><w:p><w:pPr><w:pStyle w:val="Heading2"/></w:pPr><w:bookmarkStart w:id="14" w:name="_Toc15"/><w:r><w:t>Topics</w:t></w:r><w:bookmarkEnd w:id="14"/></w:p><w:p><w:pPr/><w:r><w:rPr/><w:t xml:space="preserve">Literacy and skills</w:t></w:r></w:p><w:p><w:pPr><w:pStyle w:val="Heading2"/></w:pPr><w:bookmarkStart w:id="15" w:name="_Toc16"/><w:r><w:t>Sample</w:t></w:r><w:bookmarkEnd w:id="15"/></w:p><w:p><w:pPr/><w:r><w:rPr/><w:t xml:space="preserve">Three 9th-grade classes (two classes in history and one class in chemistry) in two different schools in a suburb of Stockholm, Sweden.</w:t></w:r></w:p><w:p><w:pPr><w:pStyle w:val="Heading2"/></w:pPr><w:bookmarkStart w:id="16" w:name="_Toc17"/><w:r><w:t>Implications For Educators About</w:t></w:r><w:bookmarkEnd w:id="16"/></w:p><w:p><w:pPr/><w:r><w:rPr/><w:t xml:space="preserve">Other</w:t></w:r></w:p><w:p><w:pPr><w:pStyle w:val="Heading2"/></w:pPr><w:bookmarkStart w:id="17" w:name="_Toc18"/><w:r><w:t>Implications For Policy Makers About</w:t></w:r><w:bookmarkEnd w:id="17"/></w:p><w:p><w:pPr/><w:r><w:rPr/><w:t xml:space="preserve">Other</w:t></w:r></w:p><w:p><w:pPr><w:pStyle w:val="Heading2"/></w:pPr><w:bookmarkStart w:id="18" w:name="_Toc19"/><w:r><w:t>Other PolicyMaker Implication</w:t></w:r><w:bookmarkEnd w:id="18"/></w:p><w:p><w:pPr/><w:r><w:rPr/><w:t xml:space="preserve">Impact of digital tools on writing skills and knowledge representation</w:t></w:r></w:p><w:p><w:pPr><w:pStyle w:val="Heading1"/></w:pPr><w:bookmarkStart w:id="19" w:name="_Toc20"/><w:r><w:t>Abstract</w:t></w:r><w:bookmarkEnd w:id="19"/></w:p><w:p><w:pPr/><w:r><w:rPr/><w:t xml:space="preserve">This article explores how resources used in test situations shape pupils’ writing and to some extent their possibilities to represent their knowledge. Two conditions (pen-and-paper and digital) are investigated in two subjects. The theoretical underpinnings stem from a design-oriented and multimodal perspective on learning (Jewitt, 2009; Kress, 2010; Selander & Kress, 2010). Findings presented in this article are in line with previous research, which has shown that digital writing technologies have an impact on pupils’ writing process (Haas, 1996; Stapleton, 2012; Genlott & Grönlund, 2013) and that the modes and media used for learning shape communication and to some extent delimit what is possible to represent as knowledge in a given situation (Kress, 2003; Jewitt, 2009; Selander & Kress, 2010).</w:t></w:r></w:p><w:p><w:pPr><w:pStyle w:val="Heading1"/></w:pPr><w:bookmarkStart w:id="20" w:name="_Toc21"/><w:r><w:t>Outcome</w:t></w:r><w:bookmarkEnd w:id="20"/></w:p><w:p><w:pPr/><w:r><w:rPr/><w:t xml:space="preserve">"Findings presented in this article are in line with previous research, which has shown that digital writing technologies have an impact on pupils’ writing process (Haas, 1996; Stapleton, 2012; Genlott & Grönlund, 2013) and that the modes and media used for learning shape communication and to some extent delimit what is possible to represent as knowledge in a given situation (Kress, 2003; Jewitt, 2009; Selander & Kress, 2010)." (Author, 172)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2025-07-14T10:12:43+00:00</dcterms:created>
  <dcterms:modified xsi:type="dcterms:W3CDTF">2025-07-14T10:12:43+00:00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