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Reframing video gaming and internet use addiction: Empirical cross-national comparison of heavy use over time and addiction scales among young users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DOI</w:t>
      </w:r>
      <w:bookmarkEnd w:id="3"/>
    </w:p>
    <w:p>
      <w:pPr/>
      <w:r>
        <w:rPr/>
        <w:t xml:space="preserve">10.1111/add.13192</w:t>
      </w:r>
    </w:p>
    <w:p>
      <w:pPr>
        <w:pStyle w:val="Heading2"/>
      </w:pPr>
      <w:bookmarkStart w:id="4" w:name="_Toc5"/>
      <w:r>
        <w:t>Issued</w:t>
      </w:r>
      <w:bookmarkEnd w:id="4"/>
    </w:p>
    <w:p>
      <w:pPr/>
      <w:r>
        <w:rPr/>
        <w:t xml:space="preserve">2016</w:t>
      </w:r>
    </w:p>
    <w:p>
      <w:pPr>
        <w:pStyle w:val="Heading2"/>
      </w:pPr>
      <w:bookmarkStart w:id="5" w:name="_Toc6"/>
      <w:r>
        <w:t>Language</w:t>
      </w:r>
      <w:bookmarkEnd w:id="5"/>
    </w:p>
    <w:p>
      <w:pPr/>
      <w:r>
        <w:rPr/>
        <w:t xml:space="preserve">English</w:t>
      </w:r>
    </w:p>
    <w:p>
      <w:pPr>
        <w:pStyle w:val="Heading2"/>
      </w:pPr>
      <w:bookmarkStart w:id="6" w:name="_Toc7"/>
      <w:r>
        <w:t>Volume</w:t>
      </w:r>
      <w:bookmarkEnd w:id="6"/>
    </w:p>
    <w:p>
      <w:pPr/>
      <w:r>
        <w:rPr/>
        <w:t xml:space="preserve">111</w:t>
      </w:r>
    </w:p>
    <w:p>
      <w:pPr>
        <w:pStyle w:val="Heading2"/>
      </w:pPr>
      <w:bookmarkStart w:id="7" w:name="_Toc8"/>
      <w:r>
        <w:t>Issue</w:t>
      </w:r>
      <w:bookmarkEnd w:id="7"/>
    </w:p>
    <w:p>
      <w:pPr/>
      <w:r>
        <w:rPr/>
        <w:t xml:space="preserve">3</w:t>
      </w:r>
    </w:p>
    <w:p>
      <w:pPr>
        <w:pStyle w:val="Heading2"/>
      </w:pPr>
      <w:bookmarkStart w:id="8" w:name="_Toc9"/>
      <w:r>
        <w:t>Start Page</w:t>
      </w:r>
      <w:bookmarkEnd w:id="8"/>
    </w:p>
    <w:p>
      <w:pPr>
        <w:pStyle w:val="Heading2"/>
      </w:pPr>
      <w:bookmarkStart w:id="9" w:name="_Toc10"/>
      <w:r>
        <w:t>End Page</w:t>
      </w:r>
      <w:bookmarkEnd w:id="9"/>
    </w:p>
    <w:p>
      <w:pPr>
        <w:pStyle w:val="Heading2"/>
      </w:pPr>
      <w:bookmarkStart w:id="10" w:name="_Toc11"/>
      <w:r>
        <w:t>Authors</w:t>
      </w:r>
      <w:bookmarkEnd w:id="10"/>
    </w:p>
    <w:p>
      <w:pPr/>
      <w:r>
        <w:rPr/>
        <w:t xml:space="preserve">Baggio S.;Dupuis M.;Studer J.;Spilka S.;Daeppen J.-B.;Simon O.;Berchtold A.;Gmel G.</w:t>
      </w:r>
    </w:p>
    <w:p>
      <w:pPr>
        <w:pStyle w:val="Heading2"/>
      </w:pPr>
      <w:bookmarkStart w:id="11" w:name="_Toc12"/>
      <w:r>
        <w:t>Type</w:t>
      </w:r>
      <w:bookmarkEnd w:id="11"/>
    </w:p>
    <w:p>
      <w:pPr/>
      <w:r>
        <w:rPr/>
        <w:t xml:space="preserve">Journal article</w:t>
      </w:r>
    </w:p>
    <w:p>
      <w:pPr>
        <w:pStyle w:val="Heading2"/>
      </w:pPr>
      <w:bookmarkStart w:id="12" w:name="_Toc13"/>
      <w:r>
        <w:t>Journal</w:t>
      </w:r>
      <w:bookmarkEnd w:id="12"/>
    </w:p>
    <w:p>
      <w:pPr/>
      <w:r>
        <w:rPr/>
        <w:t xml:space="preserve">Addiction</w:t>
      </w:r>
    </w:p>
    <w:p>
      <w:pPr>
        <w:pStyle w:val="Heading2"/>
      </w:pPr>
      <w:bookmarkStart w:id="13" w:name="_Toc14"/>
      <w:r>
        <w:t>Topics</w:t>
      </w:r>
      <w:bookmarkEnd w:id="13"/>
    </w:p>
    <w:p>
      <w:pPr/>
      <w:r>
        <w:rPr/>
        <w:t xml:space="preserve">Other</w:t>
      </w:r>
    </w:p>
    <w:p>
      <w:pPr>
        <w:pStyle w:val="Heading2"/>
      </w:pPr>
      <w:bookmarkStart w:id="14" w:name="_Toc15"/>
      <w:r>
        <w:t>Sample</w:t>
      </w:r>
      <w:bookmarkEnd w:id="14"/>
    </w:p>
    <w:p>
      <w:pPr/>
      <w:r>
        <w:rPr/>
        <w:t xml:space="preserve">22 945 17-year-old French adolescents (data from the ESCAPAD survey); 3049 from the French-speaking part of Switzerland (data from the ado@internet.ch survey); 4813 Swiss men.(data from the C-SURF study).</w:t>
      </w:r>
    </w:p>
    <w:p>
      <w:pPr>
        <w:pStyle w:val="Heading2"/>
      </w:pPr>
      <w:bookmarkStart w:id="15" w:name="_Toc16"/>
      <w:r>
        <w:t>Implications For Stakeholders About</w:t>
      </w:r>
      <w:bookmarkEnd w:id="15"/>
    </w:p>
    <w:p>
      <w:pPr/>
      <w:r>
        <w:rPr/>
        <w:t xml:space="preserve">Researchers</w:t>
      </w:r>
    </w:p>
    <w:p>
      <w:pPr>
        <w:pStyle w:val="Heading1"/>
      </w:pPr>
      <w:bookmarkStart w:id="16" w:name="_Toc17"/>
      <w:r>
        <w:t>Abstract</w:t>
      </w:r>
      <w:bookmarkEnd w:id="16"/>
    </w:p>
    <w:p>
      <w:pPr/>
      <w:r>
        <w:rPr/>
        <w:t xml:space="preserve">Background and aims: Evidence-based and reliable measures of addictive disorders are in general populationbased assessments. One study suggested that heavy use over time UOT) should be used instead of self-reported addiction scales (AS). This study compared UOTand AS regarding video gaming and internet use empirically, using associations with comorbid factors. Design Cross-sectional data fromthe 2011 French Survey on Health and Consumption on Call-up and Preparation for Defence-Day (ESCAPAD), cross-sectional data from the 2012 Swiss ado@internet.ch study and two waves of longitudinal data (2010–13) of the Swiss Longitudinal Cohort Study on Substance Use Risk Factors (C-SURF).
Setting: Three representative samples from the general population of French and Swiss adolescents and young Swiss men, aged approximately 17, 14 and 20years, respectively. Participants: ESCAPAD: n =22 945 (47.4% men); ado@internet.ch: n =3049 (50% men); C-SURF: n =4813 (baseline+follow-up, 100% men). Measurements: We assessed video gaming/internet UOT ESCAPAD and ado@internet.ch: number of hours spent online per week, C-SURF: latent score of time spent gaming/using internet] and AS (ESCAPAD: Problematic Internet Use Questionnaire, ado@internet.ch: Internet Addiction Test, C-SURF: Gaming AS). Comorbidities were assessed with health outcomes (ESCAPAD: physical health evaluation with a single item, suicidal thoughts, and appointment with a psychiatrist;
ado@internet.ch:WHO-5 and somatic health problems; C-SURF: Short Form12 (SF-12 Health Survey) and Major Depression Inventory (MDI). Findings:UOT and ASwere correlated moderately (ESCAPAD: r=0.40, ado@internet.ch: r=0.53 and C-SURF: r=0.51). Associations of AS with comorbidity factors were higher than those of UOT in cross-sectional (AS:
.005 ≤ |b| ≤ 2.500, UOT: 0.001 ≤ |b| ≤ 1.000) and longitudinal analyses (AS: 0.093 ≤ |b| ≤ 1.079, UOT: 0.020 ≤ |b| ≤ 0.329). The results were similar across gender in ESCAPAD and ado@internet.ch (men: AS: 0.006 ≤ |b| ≤ 0.211, UOT: 0.001 ≤ |b| ≤ 0.061; women: AS: 0.004 ≤ |b| ≤ 0.155, UOT: 0.001 ≤ |b| ≤ 0.094). Conclusions: The measurement of heavy use over time captures part of addictive video gaming/internet use without overlapping to a large extent with the results of measuring by self-reported addiction scales (AS). Measuring addictive video gaming/internet use via selfreported addiction scales relates more strongly to comorbidity factors than heavy use over time.</w:t>
      </w:r>
    </w:p>
    <w:p>
      <w:pPr>
        <w:pStyle w:val="Heading1"/>
      </w:pPr>
      <w:bookmarkStart w:id="17" w:name="_Toc18"/>
      <w:r>
        <w:t>Outcome</w:t>
      </w:r>
      <w:bookmarkEnd w:id="17"/>
    </w:p>
    <w:p>
      <w:pPr/>
      <w:r>
        <w:rPr/>
        <w:t xml:space="preserve">“…[T]he associations of UOT and AS were moderate…Therefore, UOT and AS were associated, but the two measures only slightly overlap….Interestingly, part of addictive video gaming/internet use was captured by heavy UOT…The results of our study showed that associations of video gaming/internet AS with comorbidity factors were all greater than those of UOT.” (Baggio et al. 2016, p. 520)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2025-10-16T15:45:06+00:00</dcterms:created>
  <dcterms:modified xsi:type="dcterms:W3CDTF">2025-10-16T15:45:06+00:00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