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Screen-based literacy practices in Swedish primary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10.18261/issn.1891-943x-2016-02-01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10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02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Andersson P.;Sofkova Hashemi S.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Nordic Journal of Digital Literacy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Scandinavian University Press / Universitetsforlaget AS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Three Year One classrooms followed at three public primary schools (named South, North and West) in western Sweden. A total of twelve focal pupils (aged 7–8) were studied, four from each class, equally distributed with regard to gender and academic achievement.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Parenting guidance / support </w:t>
      </w:r>
    </w:p>
    <w:p>
      <w:pPr>
        <w:pStyle w:val="Heading2"/>
      </w:pPr>
      <w:bookmarkStart w:id="17" w:name="_Toc18"/>
      <w:r>
        <w:t>Implications For Educators About</w:t>
      </w:r>
      <w:bookmarkEnd w:id="17"/>
    </w:p>
    <w:p>
      <w:pPr>
        <w:pStyle w:val="Heading1"/>
      </w:pPr>
      <w:bookmarkStart w:id="18" w:name="_Toc19"/>
      <w:r>
        <w:t>Abstract</w:t>
      </w:r>
      <w:bookmarkEnd w:id="18"/>
    </w:p>
    <w:p>
      <w:pPr/>
      <w:r>
        <w:rPr/>
        <w:t xml:space="preserve">This paper contributes to the discussion of digital literacies in early literacy education. We focus on the nature of screen-based literacy practices in relation to print-based, paper-pen practices in the early years of schooling when pupils learn to read and write (aged 7–8). Our results show that pupils engage in several diverse screen-based practices, although they are conventional in nature. However, aspects of blogging and tweeting do approach the characteristics of “new literacies” as defined in previous research.</w:t>
      </w:r>
    </w:p>
    <w:p>
      <w:pPr>
        <w:pStyle w:val="Heading1"/>
      </w:pPr>
      <w:bookmarkStart w:id="19" w:name="_Toc20"/>
      <w:r>
        <w:t>Outcome</w:t>
      </w:r>
      <w:bookmarkEnd w:id="19"/>
    </w:p>
    <w:p>
      <w:pPr/>
      <w:r>
        <w:rPr/>
        <w:t xml:space="preserve">"Our results show that pupils engage in several diverse screen-based practices, although they are conventional in nature. However, aspects of blogging and tweeting do approach the characteristics of “new literacies” as defined in previous research."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362E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2025-04-12T10:14:44+00:00</dcterms:created>
  <dcterms:modified xsi:type="dcterms:W3CDTF">2025-04-12T10:14:44+00:00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