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Czech Children and Facebook – A quantitative survey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10.1016/j.tele.2016.02.008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Kopecký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Telematics and Informatics</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15" w:name="_Toc16"/>
      <w:r>
        <w:t>Sample</w:t>
      </w:r>
      <w:bookmarkEnd w:id="15"/>
    </w:p>
    <w:p>
      <w:pPr/>
      <w:r>
        <w:rPr/>
        <w:t xml:space="preserve">1,122 respondents aged 8-17 years.48% of the sample constituted boys, 52% girls.37.59% of the sample constituted children under 13 years.The average age of  respondents  was  13.26  years (  =13.26738,     =15).The  respondents  had  a  normal distribution.Scattering of the sample of respondents amounted to the value ofs2 = 3.450 (s=1.857)</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1"/>
      </w:pPr>
      <w:bookmarkStart w:id="17" w:name="_Toc18"/>
      <w:r>
        <w:t>Abstract</w:t>
      </w:r>
      <w:bookmarkEnd w:id="17"/>
    </w:p>
    <w:p>
      <w:pPr/>
      <w:r>
        <w:rPr/>
        <w:t xml:space="preserve">The paper presents the results of the survey Czech Children and Facebook in 2015,which was conducted by the Virtual Communication Risks Prevention Center at Palacky University inOlomoucduring 2015. The research which involved 1,122 respondents aged 8-17 years, aimed to find out basic information about how Czech children use the social networking site Facebook, if they abide by the basic safety principles, what is their motivation for using Facebook, the reasons for using Facebook, etc. The research also examines the risky forms of communication children face in the environment of social networks with focus mainly on cyber-bullying, sexting and risky forms of dating.</w:t>
      </w:r>
    </w:p>
    <w:p>
      <w:pPr>
        <w:pStyle w:val="Heading1"/>
      </w:pPr>
      <w:bookmarkStart w:id="18" w:name="_Toc19"/>
      <w:r>
        <w:t>Outcome</w:t>
      </w:r>
      <w:bookmarkEnd w:id="18"/>
    </w:p>
    <w:p>
      <w:pPr/>
      <w:r>
        <w:rPr/>
        <w:t xml:space="preserve">• Facebook is actively used by a large number of children younger than 13 years – contrary to the terms of use of the social networks.
• Most parents know that their child has a Facebook account – including parents of children under 13 years of age.
•  Childs easily build “virtual friendship” with unknown Internet users.
• About 4% of child population share their own intimate materials in the environment of Facebook. (Kopecky, 2016, Highlights)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56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2025-10-31T09:55:09+00:00</dcterms:created>
  <dcterms:modified xsi:type="dcterms:W3CDTF">2025-10-31T09:55:09+00:00</dcterms:modified>
</cp:coreProperties>
</file>

<file path=docProps/custom.xml><?xml version="1.0" encoding="utf-8"?>
<Properties xmlns="http://schemas.openxmlformats.org/officeDocument/2006/custom-properties" xmlns:vt="http://schemas.openxmlformats.org/officeDocument/2006/docPropsVTypes"/>
</file>