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Slovenské deti a dospievajúci na internete. Záverečná správa z EU Kids Online IV - Slovenská Republika</w:t>
      </w:r>
    </w:p>
    <w:p>
      <w:pPr>
        <w:pStyle w:val="Title"/>
      </w:pPr>
      <w:r>
        <w:t>Engl. transl.: Slovak children and adolescents on the internet. The final EU Kids Online report - Slovak Republik</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Slovak</w:t>
      </w:r>
    </w:p>
    <w:p>
      <w:pPr>
        <w:pStyle w:val="Heading2"/>
      </w:pPr>
      <w:bookmarkStart w:id="5" w:name="_Toc7"/>
      <w:r>
        <w:t>Authors</w:t>
      </w:r>
      <w:bookmarkEnd w:id="5"/>
    </w:p>
    <w:p>
      <w:pPr/>
      <w:r>
        <w:rPr/>
        <w:t xml:space="preserve">Izrael P.;Holdoš J.;Ďurka R.;Hasák M. </w:t>
      </w:r>
    </w:p>
    <w:p>
      <w:pPr>
        <w:pStyle w:val="Heading2"/>
      </w:pPr>
      <w:bookmarkStart w:id="6" w:name="_Toc8"/>
      <w:r>
        <w:t>Type</w:t>
      </w:r>
      <w:bookmarkEnd w:id="6"/>
    </w:p>
    <w:p>
      <w:pPr/>
      <w:r>
        <w:rPr/>
        <w:t xml:space="preserve">Other</w:t>
      </w:r>
    </w:p>
    <w:p>
      <w:pPr>
        <w:pStyle w:val="Heading2"/>
      </w:pPr>
      <w:bookmarkStart w:id="7" w:name="_Toc9"/>
      <w:r>
        <w:t>Topics</w:t>
      </w:r>
      <w:bookmarkEnd w:id="7"/>
    </w:p>
    <w:p>
      <w:pPr>
        <w:pStyle w:val="Heading2"/>
      </w:pPr>
      <w:bookmarkStart w:id="8" w:name="_Toc10"/>
      <w:r>
        <w:t>Sample</w:t>
      </w:r>
      <w:bookmarkEnd w:id="8"/>
    </w:p>
    <w:p>
      <w:pPr/>
      <w:r>
        <w:rPr/>
        <w:t xml:space="preserve">A representative sample of 969 internet using children aged 9 - 17 (51% of boys, 49% of girls). The age distribution is 30, 5% of children and adolescents aged 9 - 11; 32,7 % aged 12 – 14; 36,8 % aged 15 – 17. The mean age is 13,2 years old  (SD = 2,6 years).
The report provides results from weighted data (i.e., data that corresponds to the age and gender distribution of children and adolescents in the population within whole Slovakia.</w:t>
      </w:r>
    </w:p>
    <w:p>
      <w:pPr>
        <w:pStyle w:val="Heading1"/>
      </w:pPr>
      <w:bookmarkStart w:id="9" w:name="_Toc11"/>
      <w:r>
        <w:t>Abstract</w:t>
      </w:r>
      <w:bookmarkEnd w:id="9"/>
    </w:p>
    <w:p>
      <w:pPr/>
      <w:r>
        <w:rPr/>
        <w:t xml:space="preserve"/>
      </w:r>
    </w:p>
    <w:p>
      <w:pPr>
        <w:pStyle w:val="Heading1"/>
      </w:pPr>
      <w:bookmarkStart w:id="10" w:name="_Toc12"/>
      <w:r>
        <w:t>Outcome</w:t>
      </w:r>
      <w:bookmarkEnd w:id="10"/>
    </w:p>
    <w:p>
      <w:pPr/>
      <w:r>
        <w:rPr/>
        <w:t xml:space="preserve">Overall 72 % of Slovak children and adolescents access the internet via a mobile phone. This applies more for boys than girls. The most frequently activity online is using social networking sites (65 %), listening to the music (57 %) and communication with family and friends (47 %). In terms of digital competence there is no difference between girls and boys. 
Eight per cent of children and adolescents  have experienced something that bothered or upset them. More then one quarter of those with this negative ecperience have not told anyone about it. In addition, "almost one third of parents do not talk to their children about what they experienced online." Izrael P. et al., 2020, 90.
Prevalence of experience with cyberbullying is 6%. One in five children has seen some sexually explicit content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2025-11-08T14:12:16+00:00</dcterms:created>
  <dcterms:modified xsi:type="dcterms:W3CDTF">2025-11-08T14:12:16+00:00</dcterms:modified>
</cp:coreProperties>
</file>

<file path=docProps/custom.xml><?xml version="1.0" encoding="utf-8"?>
<Properties xmlns="http://schemas.openxmlformats.org/officeDocument/2006/custom-properties" xmlns:vt="http://schemas.openxmlformats.org/officeDocument/2006/docPropsVTypes"/>
</file>