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Szanse i zagrożenia w obszarze wykorzystania technologii informacyjno-komunikacyjnych (TIK), ze szczególnym uwzględnieniem aplikacji mobilnych (TIK-mobApp) przez dzieci w wieku 3-6 lat</w:t>
      </w:r>
    </w:p>
    <w:p>
      <w:pPr>
        <w:pStyle w:val="Title"/>
      </w:pPr>
      <w:r>
        <w:t>Engl. transl.: Opportunities and threats in the area of ​​the use of ICT, with particular emphasis on mobile applications by children aged 3-6</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ICT</w:t>
      </w:r>
    </w:p>
    <w:p>
      <w:pPr>
        <w:numPr>
          <w:ilvl w:val="0"/>
          <w:numId w:val="5"/>
        </w:numPr>
      </w:pPr>
      <w:r>
        <w:rPr/>
        <w:t xml:space="preserve">mobile applications</w:t>
      </w:r>
    </w:p>
    <w:p>
      <w:pPr>
        <w:numPr>
          <w:ilvl w:val="0"/>
          <w:numId w:val="5"/>
        </w:numPr>
      </w:pPr>
      <w:r>
        <w:rPr/>
        <w:t xml:space="preserve">information and communication technologies</w:t>
      </w:r>
    </w:p>
    <w:p>
      <w:pPr>
        <w:numPr>
          <w:ilvl w:val="0"/>
          <w:numId w:val="5"/>
        </w:numPr>
      </w:pPr>
      <w:r>
        <w:rPr/>
        <w:t xml:space="preserve">kindergarten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J.;Klichowski M.;Przybyła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9" w:name="_Toc11"/>
      <w:r>
        <w:t>Implications For Parents About</w:t>
      </w:r>
      <w:bookmarkEnd w:id="9"/>
    </w:p>
    <w:p>
      <w:pPr>
        <w:pStyle w:val="Heading2"/>
      </w:pPr>
      <w:bookmarkStart w:id="10" w:name="_Toc12"/>
      <w:r>
        <w:t>Implications For Educators About</w:t>
      </w:r>
      <w:bookmarkEnd w:id="10"/>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STEM Education</w:t>
      </w:r>
    </w:p>
    <w:p>
      <w:pPr>
        <w:pStyle w:val="Heading2"/>
      </w:pPr>
      <w:bookmarkStart w:id="11" w:name="_Toc13"/>
      <w:r>
        <w:t>Implications For Policy Makers About</w:t>
      </w:r>
      <w:bookmarkEnd w:id="11"/>
    </w:p>
    <w:p>
      <w:pPr>
        <w:pStyle w:val="Heading2"/>
      </w:pPr>
      <w:bookmarkStart w:id="12" w:name="_Toc14"/>
      <w:r>
        <w:t>Implications For Stakeholders About</w:t>
      </w:r>
      <w:bookmarkEnd w:id="12"/>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3" w:name="_Toc15"/>
      <w:r>
        <w:t>Abstract</w:t>
      </w:r>
      <w:bookmarkEnd w:id="13"/>
    </w:p>
    <w:p>
      <w:pPr/>
      <w:r>
        <w:rPr/>
        <w:t xml:space="preserve">When analyzing the literature on the benefits and risks related to the use of ICT by the youngest, one can get the impression that we are dealing with contradictory beliefs and data. From very enthusiastic texts on the benefits to very pessimistic ones pointing to the risks themselves. It seems, however, that there is no contradiction. It is usually the case that it is not the ICT instruments themselves, but the method of their application and the level of adaptation to the child's developmental needs, that determine their beneficial or negative impact. Very often it is not so much the ICT instrument and its properties that are important, but the educational content of the materials. This report is prepared in terms of the structure of a catalog of safe mobile applications - however, many literature findings on opportunities and threats - refer to a wider range of use of ICT instruments by preschool children.</w:t>
      </w:r>
    </w:p>
    <w:p>
      <w:pPr>
        <w:pStyle w:val="Heading1"/>
      </w:pPr>
      <w:bookmarkStart w:id="14" w:name="_Toc16"/>
      <w:r>
        <w:t>Outcome</w:t>
      </w:r>
      <w:bookmarkEnd w:id="14"/>
    </w:p>
    <w:p>
      <w:pPr/>
      <w:r>
        <w:rPr/>
        <w:t xml:space="preserve">The report focuses on the youngest children aged 3-6 (kindergarten, beginning of school). ICT are understood very broadly - as stationary and mobile devices. They are part of many products that children use. The report was prepared in order to create a catalog of safe mobile applications for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4FA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2025-04-12T10:11:27+00:00</dcterms:created>
  <dcterms:modified xsi:type="dcterms:W3CDTF">2025-04-12T10:11:27+00:00</dcterms:modified>
</cp:coreProperties>
</file>

<file path=docProps/custom.xml><?xml version="1.0" encoding="utf-8"?>
<Properties xmlns="http://schemas.openxmlformats.org/officeDocument/2006/custom-properties" xmlns:vt="http://schemas.openxmlformats.org/officeDocument/2006/docPropsVTypes"/>
</file>