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(On)gezond gamegedrag van Nederlandse jongeren</w:t>
      </w:r>
    </w:p>
    <w:p>
      <w:pPr>
        <w:pStyle w:val="Title"/>
      </w:pPr>
      <w:r>
        <w:t>Engl. transl.: (Un)healthy gaming behavior of Dutch adolescents</w:t>
      </w:r>
    </w:p>
    <w:p>
      <w:pPr>
        <w:pStyle w:val="Heading1"/>
      </w:pPr>
      <w:bookmarkStart w:id="1" w:name="_Toc3"/>
      <w:r>
        <w:t>Keywords</w:t>
      </w:r>
      <w:bookmarkEnd w:id="1"/>
    </w:p>
    <w:p>
      <w:pPr>
        <w:numPr>
          <w:ilvl w:val="0"/>
          <w:numId w:val="5"/>
        </w:numPr>
      </w:pPr>
      <w:r>
        <w:rPr/>
        <w:t xml:space="preserve">adolescents</w:t>
      </w:r>
    </w:p>
    <w:p>
      <w:pPr>
        <w:numPr>
          <w:ilvl w:val="0"/>
          <w:numId w:val="5"/>
        </w:numPr>
      </w:pPr>
      <w:r>
        <w:rPr/>
        <w:t xml:space="preserve">problematic gaming</w:t>
      </w:r>
    </w:p>
    <w:p>
      <w:pPr>
        <w:numPr>
          <w:ilvl w:val="0"/>
          <w:numId w:val="5"/>
        </w:numPr>
      </w:pPr>
      <w:r>
        <w:rPr/>
        <w:t xml:space="preserve">mental health</w:t>
      </w:r>
    </w:p>
    <w:p>
      <w:pPr>
        <w:numPr>
          <w:ilvl w:val="0"/>
          <w:numId w:val="5"/>
        </w:numPr>
      </w:pPr>
      <w:r>
        <w:rPr/>
        <w:t xml:space="preserve">physical health</w:t>
      </w:r>
    </w:p>
    <w:p>
      <w:pPr>
        <w:pStyle w:val="Heading1"/>
      </w:pPr>
      <w:bookmarkStart w:id="2" w:name="_Toc4"/>
      <w:r>
        <w:t>Details</w:t>
      </w:r>
      <w:bookmarkEnd w:id="2"/>
    </w:p>
    <w:p>
      <w:pPr>
        <w:pStyle w:val="Heading2"/>
      </w:pPr>
      <w:bookmarkStart w:id="3" w:name="_Toc5"/>
      <w:r>
        <w:t>Year</w:t>
      </w:r>
      <w:bookmarkEnd w:id="3"/>
    </w:p>
    <w:p>
      <w:pPr/>
      <w:r>
        <w:rPr/>
        <w:t xml:space="preserve">2020</w:t>
      </w:r>
    </w:p>
    <w:p>
      <w:pPr>
        <w:pStyle w:val="Heading2"/>
      </w:pPr>
      <w:bookmarkStart w:id="4" w:name="_Toc6"/>
      <w:r>
        <w:t>DOI</w:t>
      </w:r>
      <w:bookmarkEnd w:id="4"/>
    </w:p>
    <w:p>
      <w:pPr/>
      <w:r>
        <w:rPr/>
        <w:t xml:space="preserve">10.1007/s12452-020-00211-w</w:t>
      </w:r>
    </w:p>
    <w:p>
      <w:pPr>
        <w:pStyle w:val="Heading2"/>
      </w:pPr>
      <w:bookmarkStart w:id="5" w:name="_Toc7"/>
      <w:r>
        <w:t>Issued</w:t>
      </w:r>
      <w:bookmarkEnd w:id="5"/>
    </w:p>
    <w:p>
      <w:pPr/>
      <w:r>
        <w:rPr/>
        <w:t xml:space="preserve">2020</w:t>
      </w:r>
    </w:p>
    <w:p>
      <w:pPr>
        <w:pStyle w:val="Heading2"/>
      </w:pPr>
      <w:bookmarkStart w:id="6" w:name="_Toc8"/>
      <w:r>
        <w:t>Language</w:t>
      </w:r>
      <w:bookmarkEnd w:id="6"/>
    </w:p>
    <w:p>
      <w:pPr/>
      <w:r>
        <w:rPr/>
        <w:t xml:space="preserve">Dutch</w:t>
      </w:r>
    </w:p>
    <w:p>
      <w:pPr>
        <w:pStyle w:val="Heading2"/>
      </w:pPr>
      <w:bookmarkStart w:id="7" w:name="_Toc9"/>
      <w:r>
        <w:t>Volume</w:t>
      </w:r>
      <w:bookmarkEnd w:id="7"/>
    </w:p>
    <w:p>
      <w:pPr/>
      <w:r>
        <w:rPr/>
        <w:t xml:space="preserve">52</w:t>
      </w:r>
    </w:p>
    <w:p>
      <w:pPr>
        <w:pStyle w:val="Heading2"/>
      </w:pPr>
      <w:bookmarkStart w:id="8" w:name="_Toc10"/>
      <w:r>
        <w:t>Issue</w:t>
      </w:r>
      <w:bookmarkEnd w:id="8"/>
    </w:p>
    <w:p>
      <w:pPr/>
      <w:r>
        <w:rPr/>
        <w:t xml:space="preserve">2</w:t>
      </w:r>
    </w:p>
    <w:p>
      <w:pPr>
        <w:pStyle w:val="Heading2"/>
      </w:pPr>
      <w:bookmarkStart w:id="9" w:name="_Toc11"/>
      <w:r>
        <w:t>Start Page</w:t>
      </w:r>
      <w:bookmarkEnd w:id="9"/>
    </w:p>
    <w:p>
      <w:pPr>
        <w:pStyle w:val="Heading2"/>
      </w:pPr>
      <w:bookmarkStart w:id="10" w:name="_Toc12"/>
      <w:r>
        <w:t>End Page</w:t>
      </w:r>
      <w:bookmarkEnd w:id="10"/>
    </w:p>
    <w:p>
      <w:pPr>
        <w:pStyle w:val="Heading2"/>
      </w:pPr>
      <w:bookmarkStart w:id="11" w:name="_Toc13"/>
      <w:r>
        <w:t>Authors</w:t>
      </w:r>
      <w:bookmarkEnd w:id="11"/>
    </w:p>
    <w:p>
      <w:pPr/>
      <w:r>
        <w:rPr/>
        <w:t xml:space="preserve">van Rooij A.;Dalinghaus N.;van den Eijnden R.</w:t>
      </w:r>
    </w:p>
    <w:p>
      <w:pPr>
        <w:pStyle w:val="Heading2"/>
      </w:pPr>
      <w:bookmarkStart w:id="12" w:name="_Toc14"/>
      <w:r>
        <w:t>Type</w:t>
      </w:r>
      <w:bookmarkEnd w:id="12"/>
    </w:p>
    <w:p>
      <w:pPr/>
      <w:r>
        <w:rPr/>
        <w:t xml:space="preserve">Journal article</w:t>
      </w:r>
    </w:p>
    <w:p>
      <w:pPr>
        <w:pStyle w:val="Heading2"/>
      </w:pPr>
      <w:bookmarkStart w:id="13" w:name="_Toc15"/>
      <w:r>
        <w:t>Journal</w:t>
      </w:r>
      <w:bookmarkEnd w:id="13"/>
    </w:p>
    <w:p>
      <w:pPr/>
      <w:r>
        <w:rPr/>
        <w:t xml:space="preserve">JGZ Tijdschrift voor jeugdgezondheidszorg</w:t>
      </w:r>
    </w:p>
    <w:p>
      <w:pPr>
        <w:pStyle w:val="Heading2"/>
      </w:pPr>
      <w:bookmarkStart w:id="14" w:name="_Toc16"/>
      <w:r>
        <w:t>Publisher</w:t>
      </w:r>
      <w:bookmarkEnd w:id="14"/>
    </w:p>
    <w:p>
      <w:pPr/>
      <w:r>
        <w:rPr/>
        <w:t xml:space="preserve">Springer Science and Business Media LLC</w:t>
      </w:r>
    </w:p>
    <w:p>
      <w:pPr>
        <w:pStyle w:val="Heading2"/>
      </w:pPr>
      <w:bookmarkStart w:id="15" w:name="_Toc17"/>
      <w:r>
        <w:t>Topics</w:t>
      </w:r>
      <w:bookmarkEnd w:id="15"/>
    </w:p>
    <w:p>
      <w:pPr/>
      <w:r>
        <w:rPr/>
        <w:t xml:space="preserve">Wellbeing</w:t>
      </w:r>
    </w:p>
    <w:p>
      <w:pPr>
        <w:pStyle w:val="Heading2"/>
      </w:pPr>
      <w:bookmarkStart w:id="16" w:name="_Toc18"/>
      <w:r>
        <w:t>Sample</w:t>
      </w:r>
      <w:bookmarkEnd w:id="16"/>
    </w:p>
    <w:p>
      <w:pPr/>
      <w:r>
        <w:rPr/>
        <w:t xml:space="preserve">'The data used comes from three studies: the Health Behaviour in School-aged children-project (www.hbsc.org, 2017), the European School Survey Project on Alcohol and Other Drugs (ESPAD, www.espad.org, 2015), and the Digital Youth-research (DIYO, Universiteit Utrecht, 2018). Each of these studies focused on Dutch youth at secondary education.'(van Rooij et al., 2020, p. 45). '(translated by the coder)'</w:t>
      </w:r>
    </w:p>
    <w:p>
      <w:pPr>
        <w:pStyle w:val="Heading2"/>
      </w:pPr>
      <w:bookmarkStart w:id="17" w:name="_Toc19"/>
      <w:r>
        <w:t>Implications For Stakeholders About</w:t>
      </w:r>
      <w:bookmarkEnd w:id="17"/>
    </w:p>
    <w:p>
      <w:pPr/>
      <w:r>
        <w:rPr/>
        <w:t xml:space="preserve">Other</w:t>
      </w:r>
    </w:p>
    <w:p>
      <w:pPr>
        <w:pStyle w:val="Heading2"/>
      </w:pPr>
      <w:bookmarkStart w:id="18" w:name="_Toc20"/>
      <w:r>
        <w:t>Other Stakeholder Implication</w:t>
      </w:r>
      <w:bookmarkEnd w:id="18"/>
    </w:p>
    <w:p>
      <w:pPr/>
      <w:r>
        <w:rPr/>
        <w:t xml:space="preserve">Professionals</w:t>
      </w:r>
    </w:p>
    <w:p>
      <w:pPr>
        <w:pStyle w:val="Heading1"/>
      </w:pPr>
      <w:bookmarkStart w:id="19" w:name="_Toc21"/>
      <w:r>
        <w:t>Abstract</w:t>
      </w:r>
      <w:bookmarkEnd w:id="19"/>
    </w:p>
    <w:p>
      <w:pPr/>
      <w:r>
        <w:rPr/>
        <w:t xml:space="preserve">Playing belongs to a healthy life; digital playing as well. The analysis in this aricle shows that gaming - even frequently gaming - is not associated with mental or physical health problems. On the contrary; hobbygamers smoke, blow, and drink less than non-gaming adolescents - they play about 14 hours a week and experience few problems. About 7% of the boys belong to the group of risky gaming. This group shows five times as much physical and mental health problems and games around 23 hours a week. The advice to professionals is to be aware of extreme gaming behavior, especially if this is associated with other problems.</w:t>
      </w:r>
    </w:p>
    <w:p>
      <w:pPr>
        <w:pStyle w:val="Heading1"/>
      </w:pPr>
      <w:bookmarkStart w:id="20" w:name="_Toc22"/>
      <w:r>
        <w:t>Outcome</w:t>
      </w:r>
      <w:bookmarkEnd w:id="20"/>
    </w:p>
    <w:p>
      <w:pPr/>
      <w:r>
        <w:rPr/>
        <w:t xml:space="preserve">Gaming - even frequently gaming - is not associated with mental or physical health problems. On the contrary; hobbygamers smoke, blow, and drink less than non-gaming adolescents. Gaming adolescents, who do not experience a lot of problems in important areas, spend around 14 hours a week on gaming. Time consuming games are mostly played by boys. About 7% of them belong to the group of risky gaming. This group shows five times as much physical and mental health problems. '(translated by the coder)'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99C0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2025-10-14T22:11:55+00:00</dcterms:created>
  <dcterms:modified xsi:type="dcterms:W3CDTF">2025-10-14T22:11:55+00:00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