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Predicting Internet Gaming Disorder symptoms in young adolescents: A one-year follow-up study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10.1016/j.chb.2017.11.008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Peeters M.;Koning I.;van den Eijnden R.</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"The data for this study were collected as part of the Digital Youth Project (DYP), a longitudinal research project on online behaviors of Dutch adolescents. Adolescents in the first and second year of two public secondary education schools (grades 7 and 8) participated in two measurement waves with one-year interval between waves. The first measurement (T1) was conducted in February 2015 and the second in February 2016.
At T1, the sample (48.9% boys) averaged 13.90 years (SD = 0.74; range 11–15) of age. Most participants (82%) had a Dutch background, with both parents also born in the Netherlands. Of the 544 participants included at T1, 354 (65%) were also included at T2. " (Peeters et al., 2018, p. 257)</w:t>
      </w:r>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Identify adolescents who are at higher risk for developming a game disorder</w:t>
      </w:r>
    </w:p>
    <w:p>
      <w:pPr>
        <w:pStyle w:val="Heading1"/>
      </w:pPr>
      <w:bookmarkStart w:id="17" w:name="_Toc18"/>
      <w:r>
        <w:t>Abstract</w:t>
      </w:r>
      <w:bookmarkEnd w:id="17"/>
    </w:p>
    <w:p>
      <w:pPr/>
      <w:r>
        <w:rPr/>
        <w:t xml:space="preserve">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w:t>
      </w:r>
    </w:p>
    <w:p>
      <w:pPr>
        <w:pStyle w:val="Heading1"/>
      </w:pPr>
      <w:bookmarkStart w:id="18" w:name="_Toc19"/>
      <w:r>
        <w:t>Outcome</w:t>
      </w:r>
      <w:bookmarkEnd w:id="18"/>
    </w:p>
    <w:p>
      <w:pPr/>
      <w:r>
        <w:rPr/>
        <w:t xml:space="preserve">"The findings of a zero-inflated model revealed main effects of social vulnerability (B ¼ 0.297, SE ¼ 0.142) and attention problems (B ¼ 0.298, SE ¼ 0.134) on IGD symptoms while controlling for gender differences. In addition, the effect of attention problems on IGD was the strongest among adolescents who were more socially vulnerable (B ¼ 0.681, SE ¼ 0.140) and less satisfied with life (B ¼ 0.485, SE ¼ 0.199)." (Peeters et al., 2018, p. 255)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2025-10-14T22:13:46+00:00</dcterms:created>
  <dcterms:modified xsi:type="dcterms:W3CDTF">2025-10-14T22:13:46+00:00</dcterms:modified>
</cp:coreProperties>
</file>

<file path=docProps/custom.xml><?xml version="1.0" encoding="utf-8"?>
<Properties xmlns="http://schemas.openxmlformats.org/officeDocument/2006/custom-properties" xmlns:vt="http://schemas.openxmlformats.org/officeDocument/2006/docPropsVTypes"/>
</file>