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Il "Gioco dello Scienziato" per l'apprendimento del metodo scientifico nella scuola primaria.</w:t>
      </w:r>
    </w:p>
    <w:p>
      <w:pPr>
        <w:pStyle w:val="Title"/>
      </w:pPr>
      <w:r>
        <w:t>Engl. transl.: The "scientist game" for learning the scientific method at primary school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robotics</w:t>
      </w:r>
    </w:p>
    <w:p>
      <w:pPr>
        <w:numPr>
          <w:ilvl w:val="0"/>
          <w:numId w:val="5"/>
        </w:numPr>
      </w:pPr>
      <w:r>
        <w:rPr/>
        <w:t xml:space="preserve">children and robots</w:t>
      </w:r>
    </w:p>
    <w:p>
      <w:pPr>
        <w:numPr>
          <w:ilvl w:val="0"/>
          <w:numId w:val="5"/>
        </w:numPr>
      </w:pPr>
      <w:r>
        <w:rPr/>
        <w:t xml:space="preserve">educational experimentation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6"/>
      <w:r>
        <w:t>DOI</w:t>
      </w:r>
      <w:bookmarkEnd w:id="4"/>
    </w:p>
    <w:p>
      <w:pPr/>
      <w:r>
        <w:rPr/>
        <w:t xml:space="preserve">https://doi.org/10.17471/2499-4324/818</w:t>
      </w:r>
    </w:p>
    <w:p>
      <w:pPr>
        <w:pStyle w:val="Heading2"/>
      </w:pPr>
      <w:bookmarkStart w:id="5" w:name="_Toc7"/>
      <w:r>
        <w:t>Issued</w:t>
      </w:r>
      <w:bookmarkEnd w:id="5"/>
    </w:p>
    <w:p>
      <w:pPr/>
      <w:r>
        <w:rPr/>
        <w:t xml:space="preserve">2015</w:t>
      </w:r>
    </w:p>
    <w:p>
      <w:pPr>
        <w:pStyle w:val="Heading2"/>
      </w:pPr>
      <w:bookmarkStart w:id="6" w:name="_Toc8"/>
      <w:r>
        <w:t>Language</w:t>
      </w:r>
      <w:bookmarkEnd w:id="6"/>
    </w:p>
    <w:p>
      <w:pPr/>
      <w:r>
        <w:rPr/>
        <w:t xml:space="preserve">Italian</w:t>
      </w:r>
    </w:p>
    <w:p>
      <w:pPr>
        <w:pStyle w:val="Heading2"/>
      </w:pPr>
      <w:bookmarkStart w:id="7" w:name="_Toc9"/>
      <w:r>
        <w:t>Start Page</w:t>
      </w:r>
      <w:bookmarkEnd w:id="7"/>
    </w:p>
    <w:p>
      <w:pPr>
        <w:pStyle w:val="Heading2"/>
      </w:pPr>
      <w:bookmarkStart w:id="8" w:name="_Toc10"/>
      <w:r>
        <w:t>End Page</w:t>
      </w:r>
      <w:bookmarkEnd w:id="8"/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Datteri E.;Bozzi G.;Zecca L.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Journal article</w:t>
      </w:r>
    </w:p>
    <w:p>
      <w:pPr>
        <w:pStyle w:val="Heading2"/>
      </w:pPr>
      <w:bookmarkStart w:id="11" w:name="_Toc13"/>
      <w:r>
        <w:t>Journal</w:t>
      </w:r>
      <w:bookmarkEnd w:id="11"/>
    </w:p>
    <w:p>
      <w:pPr/>
      <w:r>
        <w:rPr/>
        <w:t xml:space="preserve">TD Tecnologie Didattiche</w:t>
      </w:r>
    </w:p>
    <w:p>
      <w:pPr>
        <w:pStyle w:val="Heading2"/>
      </w:pPr>
      <w:bookmarkStart w:id="12" w:name="_Toc14"/>
      <w:r>
        <w:t>Topics</w:t>
      </w:r>
      <w:bookmarkEnd w:id="12"/>
    </w:p>
    <w:p>
      <w:pPr>
        <w:pStyle w:val="Heading2"/>
      </w:pPr>
      <w:bookmarkStart w:id="13" w:name="_Toc15"/>
      <w:r>
        <w:t>Sample</w:t>
      </w:r>
      <w:bookmarkEnd w:id="13"/>
    </w:p>
    <w:p>
      <w:pPr/>
      <w:r>
        <w:rPr/>
        <w:t xml:space="preserve">24 primary school students</w:t>
      </w:r>
    </w:p>
    <w:p>
      <w:pPr>
        <w:pStyle w:val="Heading1"/>
      </w:pPr>
      <w:bookmarkStart w:id="14" w:name="_Toc16"/>
      <w:r>
        <w:t>Abstract</w:t>
      </w:r>
      <w:bookmarkEnd w:id="14"/>
    </w:p>
    <w:p>
      <w:pPr/>
      <w:r>
        <w:rPr/>
        <w:t xml:space="preserve">This learning experience differs from conventional approaches to educational robotics in that, instead of programming a robot, children have to discover how the robot has been programmed, which they do by making hypotheses, designing experiments and evaluating their effectiveness.</w:t>
      </w:r>
    </w:p>
    <w:p>
      <w:pPr>
        <w:pStyle w:val="Heading1"/>
      </w:pPr>
      <w:bookmarkStart w:id="15" w:name="_Toc17"/>
      <w:r>
        <w:t>Outcome</w:t>
      </w:r>
      <w:bookmarkEnd w:id="15"/>
    </w:p>
    <w:p>
      <w:pPr/>
      <w:r>
        <w:rPr/>
        <w:t xml:space="preserve">This project where children had to explain how a robot was builtallowed to "identify some descriptors, designating as many scientific reasoning skills, which can play a useful role in the qualitative and quantitative evaluation of educational experiences with robots for the development of scientific thinking: - observe;- identify explanatory hypotheses;- make predictions based on a theory;- hypothesize possible results of an experiment;- identify the implications of an experimental result with respect to a certain theory;- identify a set of relevant empirical evidence to evaluate a certain theory;- identify possible alternative explanations of the re-sults of an experiment;- evaluate the adequacy of an experiment;- propose a modification to an experiment. " (Datteri et al., 2015, p.175).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ED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2025-10-28T07:32:02+00:00</dcterms:created>
  <dcterms:modified xsi:type="dcterms:W3CDTF">2025-10-28T07:32:02+00:00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