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Individual Differences Associated with Exposure to “Ana-Mia” Websites: An Examination of Adolescents from 25 European Countries</w:t></w:r></w:p><w:p><w:pPr><w:pStyle w:val="Heading1"/></w:pPr><w:bookmarkStart w:id="1" w:name="_Toc2"/><w:r><w:t>Keywords</w:t></w:r><w:bookmarkEnd w:id="1"/></w:p><w:p><w:pPr><w:numPr><w:ilvl w:val="0"/><w:numId w:val="5"/></w:numPr></w:pPr><w:r><w:rPr/><w:t xml:space="preserve">Cyberpsychology</w:t></w:r></w:p><w:p><w:pPr><w:numPr><w:ilvl w:val="0"/><w:numId w:val="5"/></w:numPr></w:pPr><w:r><w:rPr/><w:t xml:space="preserve">Eating Disorders</w:t></w:r></w:p><w:p><w:pPr><w:numPr><w:ilvl w:val="0"/><w:numId w:val="5"/></w:numPr></w:pPr><w:r><w:rPr/><w:t xml:space="preserve">Internet</w:t></w:r></w:p><w:p><w:pPr><w:numPr><w:ilvl w:val="0"/><w:numId w:val="5"/></w:numPr></w:pPr><w:r><w:rPr/><w:t xml:space="preserve">Personality Traits</w:t></w:r></w:p><w:p><w:pPr><w:numPr><w:ilvl w:val="0"/><w:numId w:val="5"/></w:numPr></w:pPr><w:r><w:rPr/><w:t xml:space="preserve">Proana</w:t></w:r></w:p><w:p><w:pPr><w:numPr><w:ilvl w:val="0"/><w:numId w:val="5"/></w:numPr></w:pPr><w:r><w:rPr/><w:t xml:space="preserve">Promia</w:t></w:r></w:p><w:p><w:pPr><w:numPr><w:ilvl w:val="0"/><w:numId w:val="5"/></w:numPr></w:pPr><w:r><w:rPr/><w:t xml:space="preserve">ProED</w:t></w:r></w:p><w:p><w:pPr><w:numPr><w:ilvl w:val="0"/><w:numId w:val="5"/></w:numPr></w:pPr><w:r><w:rPr/><w:t xml:space="preserve">Disinhibition</w:t></w:r></w:p><w:p><w:pPr><w:numPr><w:ilvl w:val="0"/><w:numId w:val="5"/></w:numPr></w:pPr><w:r><w:rPr/><w:t xml:space="preserve">Sensation Seeking</w:t></w:r></w:p><w:p><w:pPr><w:numPr><w:ilvl w:val="0"/><w:numId w:val="5"/></w:numPr></w:pPr><w:r><w:rPr/><w:t xml:space="preserve">Media Exposure</w:t></w:r></w:p><w:p><w:pPr><w:numPr><w:ilvl w:val="0"/><w:numId w:val="5"/></w:numPr></w:pPr><w:r><w:rPr/><w:t xml:space="preserve">EU Kids Online</w:t></w:r></w:p><w:p><w:pPr><w:pStyle w:val="Heading1"/></w:pPr><w:bookmarkStart w:id="2" w:name="_Toc3"/><w:r><w:t>Details</w:t></w:r><w:bookmarkEnd w:id="2"/></w:p><w:p><w:pPr><w:pStyle w:val="Heading2"/></w:pPr><w:bookmarkStart w:id="3" w:name="_Toc4"/><w:r><w:t>Year</w:t></w:r><w:bookmarkEnd w:id="3"/></w:p><w:p><w:pPr/><w:r><w:rPr/><w:t xml:space="preserve">2016</w:t></w:r></w:p><w:p><w:pPr><w:pStyle w:val="Heading2"/></w:pPr><w:bookmarkStart w:id="4" w:name="_Toc5"/><w:r><w:t>DOI</w:t></w:r><w:bookmarkEnd w:id="4"/></w:p><w:p><w:pPr/><w:r><w:rPr/><w:t xml:space="preserve">10.1089/cyber.2016.0098</w:t></w:r></w:p><w:p><w:pPr><w:pStyle w:val="Heading2"/></w:pPr><w:bookmarkStart w:id="5" w:name="_Toc6"/><w:r><w:t>Issued</w:t></w:r><w:bookmarkEnd w:id="5"/></w:p><w:p><w:pPr/><w:r><w:rPr/><w:t xml:space="preserve">2016</w:t></w:r></w:p><w:p><w:pPr><w:pStyle w:val="Heading2"/></w:pPr><w:bookmarkStart w:id="6" w:name="_Toc7"/><w:r><w:t>Language</w:t></w:r><w:bookmarkEnd w:id="6"/></w:p><w:p><w:pPr/><w:r><w:rPr/><w:t xml:space="preserve">English</w:t></w:r></w:p><w:p><w:pPr><w:pStyle w:val="Heading2"/></w:pPr><w:bookmarkStart w:id="7" w:name="_Toc8"/><w:r><w:t>Volume</w:t></w:r><w:bookmarkEnd w:id="7"/></w:p><w:p><w:pPr/><w:r><w:rPr/><w:t xml:space="preserve">19</w:t></w:r></w:p><w:p><w:pPr><w:pStyle w:val="Heading2"/></w:pPr><w:bookmarkStart w:id="8" w:name="_Toc9"/><w:r><w:t>Issue</w:t></w:r><w:bookmarkEnd w:id="8"/></w:p><w:p><w:pPr/><w:r><w:rPr/><w:t xml:space="preserve">8</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Almenara C.A.;Macháčková H.;Smahel D.</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Cyberpsychology, Behavior, and Social Networking</w:t></w:r></w:p><w:p><w:pPr><w:pStyle w:val="Heading2"/></w:pPr><w:bookmarkStart w:id="14" w:name="_Toc15"/><w:r><w:t>Publisher</w:t></w:r><w:bookmarkEnd w:id="14"/></w:p><w:p><w:pPr/><w:r><w:rPr/><w:t xml:space="preserve">Mary Ann Liebert Inc</w:t></w:r></w:p><w:p><w:pPr><w:pStyle w:val="Heading2"/></w:pPr><w:bookmarkStart w:id="15" w:name="_Toc16"/><w:r><w:t>Topics</w:t></w:r><w:bookmarkEnd w:id="15"/></w:p><w:p><w:pPr><w:numPr><w:ilvl w:val="0"/><w:numId w:val="5"/></w:numPr></w:pPr><w:r><w:rPr/><w:t xml:space="preserve">Internet usage, practices and engagement</w:t></w:r></w:p><w:p><w:pPr><w:numPr><w:ilvl w:val="0"/><w:numId w:val="5"/></w:numPr></w:pPr><w:r><w:rPr/><w:t xml:space="preserve">Risks and harms</w:t></w:r></w:p><w:p><w:pPr><w:numPr><w:ilvl w:val="0"/><w:numId w:val="5"/></w:numPr></w:pPr><w:r><w:rPr/><w:t xml:space="preserve">Wellbeing</w:t></w:r></w:p><w:p><w:pPr><w:numPr><w:ilvl w:val="0"/><w:numId w:val="5"/></w:numPr></w:pPr><w:r><w:rPr/><w:t xml:space="preserve">Content-related issues</w:t></w:r></w:p><w:p><w:pPr><w:pStyle w:val="Heading2"/></w:pPr><w:bookmarkStart w:id="16" w:name="_Toc17"/><w:r><w:t>Sample</w:t></w:r><w:bookmarkEnd w:id="16"/></w:p><w:p><w:pPr/><w:r><w:rPr/><w:t xml:space="preserve">Adolescents from  a  large  cross-national  survey  in  25  European  countries  (N=18,709,  aged  11–16,  50%  girls)</w:t></w:r></w:p><w:p><w:pPr><w:pStyle w:val="Heading2"/></w:pPr><w:bookmarkStart w:id="17" w:name="_Toc18"/><w:r><w:t>Implications For Policy Makers About</w:t></w:r><w:bookmarkEnd w:id="17"/></w:p><w:p><w:pPr/><w:r><w:rPr/><w:t xml:space="preserve">Stepping up awareness and empowerment</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This study explores the individual differences associated with adolescents' exposure to ‘‘ana-mia" websites (i.e., websites where people discuss ways to be very thin, such as being anorexic). Participants were adolescents from a large cross-national survey in 25 European countries (N = 18,709, aged 11–16, 50% girls). Sociodemographic and individual factors (i.e., variables related to Internet use and personality traits) were included in a logistic regression performed separately for girls and boys. The results showed that sensation seeking and online disinhibition were both associated with an increased risk of exposure to ‘‘ana-mia" websites in girls as well as in boys, although some gender differences were apparent. In girls, but not in boys, the older the child and higher the socioeconomic status, higher the chance of being exposed to ‘‘ana-mia" websites. Further research is recommended to understand the real impact of ‘‘ana-mia" website exposure on adolescent health.</w:t></w:r></w:p><w:p><w:pPr><w:pStyle w:val="Heading1"/></w:pPr><w:bookmarkStart w:id="20" w:name="_Toc21"/><w:r><w:t>Outcome</w:t></w:r><w:bookmarkEnd w:id="20"/></w:p><w:p><w:pPr/><w:r><w:rPr/><w:t xml:space="preserve">"sensation seeking and online disinhibition were both associated with an increased risk of exposure to ‘‘ana-mia’’ websites in girls as well as in boys, although some gender differences were apparent. In girls, but not in boys, the older the child and  higher  the  socioeconomic  status,  higher  the  chance  of  being  exposed  to  ‘‘ana-mia’’  websites" (Almenara, Machackova, & Smahel, 2016, Abstract)

"The  results  showed  that  sensation  seeking  and  online disinhibition were both associated with an increased risk of exposure to ‘‘ana-mia’’ websites in girls as well as in boys. ... In our investigation, about one out of 10 adolescents reported  being  exposed  to  ‘‘ana-mia’’  websites,  and  this  experience  was  more  than  double  in  girls  than  in  boys." (Almenara, Machackova, & Smahel, 2016, p. 478)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85F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2025-11-13T07:16:30+00:00</dcterms:created>
  <dcterms:modified xsi:type="dcterms:W3CDTF">2025-11-13T07:16:30+00:00</dcterms:modified>
</cp:coreProperties>
</file>

<file path=docProps/custom.xml><?xml version="1.0" encoding="utf-8"?>
<Properties xmlns="http://schemas.openxmlformats.org/officeDocument/2006/custom-properties" xmlns:vt="http://schemas.openxmlformats.org/officeDocument/2006/docPropsVTypes"/>
</file>