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Problematic mobile phone use among adolescents with mild intellectual disability</w:t></w:r></w:p><w:p><w:pPr><w:pStyle w:val="Heading1"/></w:pPr><w:bookmarkStart w:id="1" w:name="_Toc2"/><w:r><w:t>Keywords</w:t></w:r><w:bookmarkEnd w:id="1"/></w:p><w:p><w:pPr><w:numPr><w:ilvl w:val="0"/><w:numId w:val="5"/></w:numPr></w:pPr><w:r><w:rPr/><w:t xml:space="preserve">mobile phone</w:t></w:r></w:p><w:p><w:pPr><w:numPr><w:ilvl w:val="0"/><w:numId w:val="5"/></w:numPr></w:pPr><w:r><w:rPr/><w:t xml:space="preserve">loneliness</w:t></w:r></w:p><w:p><w:pPr><w:numPr><w:ilvl w:val="0"/><w:numId w:val="5"/></w:numPr></w:pPr><w:r><w:rPr/><w:t xml:space="preserve">self-esteem</w:t></w:r></w:p><w:p><w:pPr><w:numPr><w:ilvl w:val="0"/><w:numId w:val="5"/></w:numPr></w:pPr><w:r><w:rPr/><w:t xml:space="preserve">intellectual disability</w:t></w:r></w:p><w:p><w:pPr><w:pStyle w:val="Heading1"/></w:pPr><w:bookmarkStart w:id="2" w:name="_Toc3"/><w:r><w:t>Details</w:t></w:r><w:bookmarkEnd w:id="2"/></w:p><w:p><w:pPr><w:pStyle w:val="Heading2"/></w:pPr><w:bookmarkStart w:id="3" w:name="_Toc4"/><w:r><w:t>Year</w:t></w:r><w:bookmarkEnd w:id="3"/></w:p><w:p><w:pPr/><w:r><w:rPr/><w:t xml:space="preserve">2020</w:t></w:r></w:p><w:p><w:pPr><w:pStyle w:val="Heading2"/></w:pPr><w:bookmarkStart w:id="4" w:name="_Toc5"/><w:r><w:t>DOI</w:t></w:r><w:bookmarkEnd w:id="4"/></w:p><w:p><w:pPr/><w:r><w:rPr/><w:t xml:space="preserve">10.2298/psi190729014g</w:t></w:r></w:p><w:p><w:pPr><w:pStyle w:val="Heading2"/></w:pPr><w:bookmarkStart w:id="5" w:name="_Toc6"/><w:r><w:t>Issued</w:t></w:r><w:bookmarkEnd w:id="5"/></w:p><w:p><w:pPr/><w:r><w:rPr/><w:t xml:space="preserve">2020</w:t></w:r></w:p><w:p><w:pPr><w:pStyle w:val="Heading2"/></w:pPr><w:bookmarkStart w:id="6" w:name="_Toc7"/><w:r><w:t>Language</w:t></w:r><w:bookmarkEnd w:id="6"/></w:p><w:p><w:pPr/><w:r><w:rPr/><w:t xml:space="preserve">English</w:t></w:r></w:p><w:p><w:pPr><w:pStyle w:val="Heading2"/></w:pPr><w:bookmarkStart w:id="7" w:name="_Toc8"/><w:r><w:t>Volume</w:t></w:r><w:bookmarkEnd w:id="7"/></w:p><w:p><w:pPr/><w:r><w:rPr/><w:t xml:space="preserve">53</w:t></w:r></w:p><w:p><w:pPr><w:pStyle w:val="Heading2"/></w:pPr><w:bookmarkStart w:id="8" w:name="_Toc9"/><w:r><w:t>Issue</w:t></w:r><w:bookmarkEnd w:id="8"/></w:p><w:p><w:pPr/><w:r><w:rPr/><w:t xml:space="preserve">4</w:t></w:r></w:p><w:p><w:pPr><w:pStyle w:val="Heading2"/></w:pPr><w:bookmarkStart w:id="9" w:name="_Toc10"/><w:r><w:t>Start Page</w:t></w:r><w:bookmarkEnd w:id="9"/></w:p><w:p><w:pPr><w:pStyle w:val="Heading2"/></w:pPr><w:bookmarkStart w:id="10" w:name="_Toc11"/><w:r><w:t>End Page</w:t></w:r><w:bookmarkEnd w:id="10"/></w:p><w:p><w:pPr><w:pStyle w:val="Heading2"/></w:pPr><w:bookmarkStart w:id="11" w:name="_Toc12"/><w:r><w:t>Authors</w:t></w:r><w:bookmarkEnd w:id="11"/></w:p><w:p><w:pPr/><w:r><w:rPr/><w:t xml:space="preserve">Glumbic N.;Brojcin B.;Zunic-Pavlovic V.;Djordjevic M.</w:t></w:r></w:p><w:p><w:pPr><w:pStyle w:val="Heading2"/></w:pPr><w:bookmarkStart w:id="12" w:name="_Toc13"/><w:r><w:t>Type</w:t></w:r><w:bookmarkEnd w:id="12"/></w:p><w:p><w:pPr/><w:r><w:rPr/><w:t xml:space="preserve">Journal article</w:t></w:r></w:p><w:p><w:pPr><w:pStyle w:val="Heading2"/></w:pPr><w:bookmarkStart w:id="13" w:name="_Toc14"/><w:r><w:t>Journal</w:t></w:r><w:bookmarkEnd w:id="13"/></w:p><w:p><w:pPr/><w:r><w:rPr/><w:t xml:space="preserve">Psihologija</w:t></w:r></w:p><w:p><w:pPr><w:pStyle w:val="Heading2"/></w:pPr><w:bookmarkStart w:id="14" w:name="_Toc15"/><w:r><w:t>Publisher</w:t></w:r><w:bookmarkEnd w:id="14"/></w:p><w:p><w:pPr/><w:r><w:rPr/><w:t xml:space="preserve">National Library of Serbia</w:t></w:r></w:p><w:p><w:pPr><w:pStyle w:val="Heading2"/></w:pPr><w:bookmarkStart w:id="15" w:name="_Toc16"/><w:r><w:t>Place</w:t></w:r><w:bookmarkEnd w:id="15"/></w:p><w:p><w:pPr/><w:r><w:rPr/><w:t xml:space="preserve">Belgrade</w:t></w:r></w:p><w:p><w:pPr><w:pStyle w:val="Heading2"/></w:pPr><w:bookmarkStart w:id="16" w:name="_Toc17"/><w:r><w:t>Topics</w:t></w:r><w:bookmarkEnd w:id="16"/></w:p><w:p><w:pPr><w:numPr><w:ilvl w:val="0"/><w:numId w:val="5"/></w:numPr></w:pPr><w:r><w:rPr/><w:t xml:space="preserve">Wellbeing</w:t></w:r></w:p><w:p><w:pPr><w:numPr><w:ilvl w:val="0"/><w:numId w:val="5"/></w:numPr></w:pPr><w:r><w:rPr/><w:t xml:space="preserve">Risks and harms</w:t></w:r></w:p><w:p><w:pPr><w:numPr><w:ilvl w:val="0"/><w:numId w:val="5"/></w:numPr></w:pPr><w:r><w:rPr/><w:t xml:space="preserve">Access, inequalities and vulnerabilities</w:t></w:r></w:p><w:p><w:pPr><w:pStyle w:val="Heading2"/></w:pPr><w:bookmarkStart w:id="17" w:name="_Toc18"/><w:r><w:t>Sample</w:t></w:r><w:bookmarkEnd w:id="17"/></w:p><w:p><w:pPr/><w:r><w:rPr/><w:t xml:space="preserve">67 adolescents with mild intellectual disability (MID) and 623 typically developing adolescents (TDA)</w:t></w:r></w:p><w:p><w:pPr><w:pStyle w:val="Heading2"/></w:pPr><w:bookmarkStart w:id="18" w:name="_Toc19"/><w:r><w:t>Implications For Parents About</w:t></w:r><w:bookmarkEnd w:id="18"/></w:p><w:p><w:pPr><w:pStyle w:val="Heading2"/></w:pPr><w:bookmarkStart w:id="19" w:name="_Toc20"/><w:r><w:t>Implications For Educators About</w:t></w:r><w:bookmarkEnd w:id="19"/></w:p><w:p><w:pPr/><w:r><w:rPr/><w:t xml:space="preserve">Other</w:t></w:r></w:p><w:p><w:pPr><w:pStyle w:val="Heading2"/></w:pPr><w:bookmarkStart w:id="20" w:name="_Toc21"/><w:r><w:t>Implications For Policy Makers About</w:t></w:r><w:bookmarkEnd w:id="20"/></w:p><w:p><w:pPr/><w:r><w:rPr/><w:t xml:space="preserve">Creating a safe environment for children online</w:t></w:r></w:p><w:p><w:pPr><w:pStyle w:val="Heading2"/></w:pPr><w:bookmarkStart w:id="21" w:name="_Toc22"/><w:r><w:t>Implications For Stakeholders About</w:t></w:r><w:bookmarkEnd w:id="21"/></w:p><w:p><w:pPr/><w:r><w:rPr/><w:t xml:space="preserve">Healthcare</w:t></w:r></w:p><w:p><w:pPr><w:pStyle w:val="Heading1"/></w:pPr><w:bookmarkStart w:id="22" w:name="_Toc23"/><w:r><w:t>Abstract</w:t></w:r><w:bookmarkEnd w:id="22"/></w:p><w:p><w:pPr/><w:r><w:rPr/><w:t xml:space="preserve">This study was conducted with the aim to determine the frequency and predictors of problematic mobile phone use in adolescents with mild intellectual disability (MID) and typically developing adolescents (TDA). The sample included 623 TDA and 67 adolescents with MID. The Mobile Phone Problem Use Scale, Loneliness and Social Dissatisfaction Scale, and Rosenberg Self-Esteem Scale were used as primary outcome measures. The percentage of MID and TDA participants with problematic mobile phone use was 11.9% and 9.8% respectively, but there were twice as many participants who belong to the risk group
among the participants with MID (20.9%) than among TDA ones (10.2%). Problematic use of mobile phones was related to the number of years of mobile phone usage, more frequent use, female gender, younger age, as well as with a lower level of self-esteem, and a higher level of loneliness. This study showed that almost every third adolescent with MID is having problematic or risky mobile phone use.</w:t></w:r></w:p><w:p><w:pPr><w:pStyle w:val="Heading1"/></w:pPr><w:bookmarkStart w:id="23" w:name="_Toc24"/><w:r><w:t>Outcome</w:t></w:r><w:bookmarkEnd w:id="23"/></w:p><w:p><w:pPr/><w:r><w:rPr/><w:t xml:space="preserve">"The use of mobile phones is common among adolescents with MID. About 10% of adolescents with MID and TDA used a mobile phone in a way that could
be problematic, but there were twice as many adolescents with MID who may be showing risky behaviours in relation to mobile phone use. A greater risk for
developing problematic patterns was found in younger female adolescents with MID who had a mobile phone longer and used it more often, as well as in those
who were lonelier, and had less self-esteem." (Glumbić, Brojčin, Žunić-Pavlović, & Đorđević, 2020, p. 371)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0765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2025-11-07T01:12:28+00:00</dcterms:created>
  <dcterms:modified xsi:type="dcterms:W3CDTF">2025-11-07T01:12:28+00:00</dcterms:modified>
</cp:coreProperties>
</file>

<file path=docProps/custom.xml><?xml version="1.0" encoding="utf-8"?>
<Properties xmlns="http://schemas.openxmlformats.org/officeDocument/2006/custom-properties" xmlns:vt="http://schemas.openxmlformats.org/officeDocument/2006/docPropsVTypes"/>
</file>