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Temporal Trends in Overweight and Obesity, Physical Activity and Screen Time among Czech Adolescents from 2002 to 2014: A National Health Behaviour in School-Aged Children Study</w:t></w:r></w:p><w:p><w:pPr><w:pStyle w:val="Heading1"/></w:pPr><w:bookmarkStart w:id="1" w:name="_Toc2"/><w:r><w:t>Details</w:t></w:r><w:bookmarkEnd w:id="1"/></w:p><w:p><w:pPr><w:pStyle w:val="Heading2"/></w:pPr><w:bookmarkStart w:id="2" w:name="_Toc3"/><w:r><w:t>Year</w:t></w:r><w:bookmarkEnd w:id="2"/></w:p><w:p><w:pPr/><w:r><w:rPr/><w:t xml:space="preserve">2015</w:t></w:r></w:p><w:p><w:pPr><w:pStyle w:val="Heading2"/></w:pPr><w:bookmarkStart w:id="3" w:name="_Toc4"/><w:r><w:t>DOI</w:t></w:r><w:bookmarkEnd w:id="3"/></w:p><w:p><w:pPr/><w:r><w:rPr/><w:t xml:space="preserve">10.3390/ijerph120911848</w:t></w:r></w:p><w:p><w:pPr><w:pStyle w:val="Heading2"/></w:pPr><w:bookmarkStart w:id="4" w:name="_Toc5"/><w:r><w:t>Issued</w:t></w:r><w:bookmarkEnd w:id="4"/></w:p><w:p><w:pPr/><w:r><w:rPr/><w:t xml:space="preserve">2015</w:t></w:r></w:p><w:p><w:pPr><w:pStyle w:val="Heading2"/></w:pPr><w:bookmarkStart w:id="5" w:name="_Toc6"/><w:r><w:t>Language</w:t></w:r><w:bookmarkEnd w:id="5"/></w:p><w:p><w:pPr/><w:r><w:rPr/><w:t xml:space="preserve">English</w:t></w:r></w:p><w:p><w:pPr><w:pStyle w:val="Heading2"/></w:pPr><w:bookmarkStart w:id="6" w:name="_Toc7"/><w:r><w:t>Volume</w:t></w:r><w:bookmarkEnd w:id="6"/></w:p><w:p><w:pPr/><w:r><w:rPr/><w:t xml:space="preserve">12</w:t></w:r></w:p><w:p><w:pPr><w:pStyle w:val="Heading2"/></w:pPr><w:bookmarkStart w:id="7" w:name="_Toc8"/><w:r><w:t>Issue</w:t></w:r><w:bookmarkEnd w:id="7"/></w:p><w:p><w:pPr/><w:r><w:rPr/><w:t xml:space="preserve">9</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Sigmund E.;Sigmundová D.;Badura P.;Kalman M.;Hamrik Z.;Pavelka J.</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International Journal of Environmental Research and Public Health</w:t></w:r></w:p><w:p><w:pPr><w:pStyle w:val="Heading2"/></w:pPr><w:bookmarkStart w:id="13" w:name="_Toc14"/><w:r><w:t>Publisher</w:t></w:r><w:bookmarkEnd w:id="13"/></w:p><w:p><w:pPr/><w:r><w:rPr/><w:t xml:space="preserve">MDPI AG</w:t></w:r></w:p><w:p><w:pPr><w:pStyle w:val="Heading2"/></w:pPr><w:bookmarkStart w:id="14" w:name="_Toc15"/><w:r><w:t>Topics</w:t></w:r><w:bookmarkEnd w:id="14"/></w:p><w:p><w:pPr><w:numPr><w:ilvl w:val="0"/><w:numId w:val="5"/></w:numPr></w:pPr><w:r><w:rPr/><w:t xml:space="preserve">Internet usage, practices and engagement</w:t></w:r></w:p><w:p><w:pPr><w:numPr><w:ilvl w:val="0"/><w:numId w:val="5"/></w:numPr></w:pPr><w:r><w:rPr/><w:t xml:space="preserve">Wellbeing</w:t></w:r></w:p><w:p><w:pPr><w:numPr><w:ilvl w:val="0"/><w:numId w:val="5"/></w:numPr></w:pPr><w:r><w:rPr/><w:t xml:space="preserve">Risks and harms</w:t></w:r></w:p><w:p><w:pPr><w:pStyle w:val="Heading2"/></w:pPr><w:bookmarkStart w:id="15" w:name="_Toc16"/><w:r><w:t>Sample</w:t></w:r><w:bookmarkEnd w:id="15"/></w:p><w:p><w:pPr/><w:r><w:rPr/><w:t xml:space="preserve">This study is based on four cycles of the Czech Health Behaviour in School-aged Children (HBSC) study. The sample consisted of reports from 19,940 adolescents (9760 boys and 10,180 girls) from the 5th, 7th and 9th grades of primary schools in the Czech Republic. Across the four cycles, sample sizes were as follows: in 2002 (n = 5012), 2006 (n = 4774), 2010 (n = 4404) [5] and 2014 (n = 5750) (Table 1). The 5th (7th and 9th, respectively) grade involves adolescents in the age range 10.5–12.49 years (12.50–14.49 years and 14.50–16.49 years, respectively.</w:t></w:r></w:p><w:p><w:pPr><w:pStyle w:val="Heading2"/></w:pPr><w:bookmarkStart w:id="16" w:name="_Toc17"/><w:r><w:t>Implications For Policy Makers About</w:t></w:r><w:bookmarkEnd w:id="16"/></w:p><w:p><w:pPr><w:pStyle w:val="Heading2"/></w:pPr><w:bookmarkStart w:id="17" w:name="_Toc18"/><w:r><w:t>Other PolicyMaker Implication</w:t></w:r><w:bookmarkEnd w:id="17"/></w:p><w:p><w:pPr/><w:r><w:rPr/><w:t xml:space="preserve">Evaluation of  the  effect  of  current  intervention  programmes</w:t></w:r></w:p><w:p><w:pPr><w:pStyle w:val="Heading2"/></w:pPr><w:bookmarkStart w:id="18" w:name="_Toc19"/><w:r><w:t>Implications For Stakeholders About</w:t></w:r><w:bookmarkEnd w:id="18"/></w:p><w:p><w:pPr/><w:r><w:rPr/><w:t xml:space="preserve">Researchers</w:t></w:r></w:p><w:p><w:pPr><w:pStyle w:val="Heading1"/></w:pPr><w:bookmarkStart w:id="19" w:name="_Toc20"/><w:r><w:t>Abstract</w:t></w:r><w:bookmarkEnd w:id="19"/></w:p><w:p><w:pPr/><w:r><w:rPr/><w:t xml:space="preserve">This study examines trends in overweight and obesity, physical activity (PA) and screen time (ST) among Czech adolescents over a recent 12-year study period. Nationally representative samples consisted of 19,940 adolescents (9760 boys and 10,180 girls) aged 10.5–16.5 years from the Czech Health Behaviour in School-aged Children (HBSC) questionnaire-based surveys conducted in 2002, 2006, 2010 and 2014. Trends in the prevalence of overweight/obesity, meeting the recommendations for moderate-to-vigorous PA (MVPA) (≥60 min per day of MVPA) and excessive ST (>2 h per day) were estimated using logistic regression. Significant increases (p < 0.001) in the prevalence of overweight/obesity between the years 2002 and 2014 were evident for both adolescent boys (18.3%2002–24.8%2014) and girls (8.3%2002–11.9%2014). Compared to 2002, in 2014 significant decreases (p < 0.001) in meeting MVPA recommendations were observed among boys (32.2%2002–25.6%2014) and girls (23.2%2002–19.2%2014). Moreover, in boys we observed significant increases (p < 0.001) in excessive ST on weekdays (75.1%2002–88.8%2014), as well as on weekends (78.3%2002–91.9%2014) between the years 2002 and 2014. Increases in overweight/obesity with concomitant decreases in PA provide evidence in support of the current and upcoming efforts of government and commercial organizations in implementing interventions aimed at reducing excessive body weight among Czech adolescents.</w:t></w:r></w:p><w:p><w:pPr><w:pStyle w:val="Heading1"/></w:pPr><w:bookmarkStart w:id="20" w:name="_Toc21"/><w:r><w:t>Outcome</w:t></w:r><w:bookmarkEnd w:id="20"/></w:p><w:p><w:pPr/><w:r><w:rPr/><w:t xml:space="preserve">"...for the overall group of boys we found a rather alarming increase in excessive ST (screen time) on weekdays, as well as at weekends, during the years 2002 to 2014 and a decrease in meeting the VPA (vigorous physical activity) recommendations between 2006 and 2014. Conversely, for girls, in 2014 we observed the cessation of past increases in the proportion of those with excessive ST on weekdays and weekends, while the number of girls meeting the VPA recommendations grew compared to 2006." (Sigmund, Sigmundová, Badura, Kalman, Hamrik, & Pavelka, 2015, p. 11861)</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39731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2024-05-05T03:19:05+00:00</dcterms:created>
  <dcterms:modified xsi:type="dcterms:W3CDTF">2024-05-05T03:19:05+00:00</dcterms:modified>
</cp:coreProperties>
</file>

<file path=docProps/custom.xml><?xml version="1.0" encoding="utf-8"?>
<Properties xmlns="http://schemas.openxmlformats.org/officeDocument/2006/custom-properties" xmlns:vt="http://schemas.openxmlformats.org/officeDocument/2006/docPropsVTypes"/>
</file>