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PRÉVENIR LE CYBERHARCÈLEMENT EN FRANCE ET AU ROYAUME-UNI :UNE TÂCHE IMPOSSIBLE ?</w:t>
      </w:r>
    </w:p>
    <w:p>
      <w:pPr>
        <w:pStyle w:val="Title"/>
      </w:pPr>
      <w:r>
        <w:t>Engl. transl.: Preventing cyberharassment in France and in the United Kingdom: An impossible task?</w:t>
      </w:r>
    </w:p>
    <w:p>
      <w:pPr>
        <w:pStyle w:val="Heading1"/>
      </w:pPr>
      <w:bookmarkStart w:id="1" w:name="_Toc3"/>
      <w:r>
        <w:t>Keywords</w:t>
      </w:r>
      <w:bookmarkEnd w:id="1"/>
    </w:p>
    <w:p>
      <w:pPr>
        <w:numPr>
          <w:ilvl w:val="0"/>
          <w:numId w:val="5"/>
        </w:numPr>
      </w:pPr>
      <w:r>
        <w:rPr/>
        <w:t xml:space="preserve">CYBERHARASSMENT  – PREVENTION –  CAMPAIGN – CYBERHUMILIATION –  INTERNET  – CYBERCRIME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French</w:t>
      </w:r>
    </w:p>
    <w:p>
      <w:pPr>
        <w:pStyle w:val="Heading2"/>
      </w:pPr>
      <w:bookmarkStart w:id="6" w:name="_Toc8"/>
      <w:r>
        <w:t>Volume</w:t>
      </w:r>
      <w:bookmarkEnd w:id="6"/>
    </w:p>
    <w:p>
      <w:pPr/>
      <w:r>
        <w:rPr/>
        <w:t xml:space="preserve">43</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Dilmaç J.A.;Kocadal Ö.</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Déviance et Société</w:t>
      </w:r>
    </w:p>
    <w:p>
      <w:pPr>
        <w:pStyle w:val="Heading1"/>
      </w:pPr>
      <w:bookmarkStart w:id="13" w:name="_Toc15"/>
      <w:r>
        <w:t>Abstract</w:t>
      </w:r>
      <w:bookmarkEnd w:id="13"/>
    </w:p>
    <w:p>
      <w:pPr/>
      <w:r>
        <w:rPr/>
        <w:t xml:space="preserve">This  article  analyzes  British  and  French  governmental  and  non-governmental  organizations’  approaches  to  cyber-harassment  on  their  prevention  campaign  websites.  First,  we  discuss  and  elaborate  on  Dan  Olweus’  approach  in  relation  to  the  conceptualization  of  "cyber-harassment"  as  deviance.  Subsequently,  a  comparative  discourse  analysis  of  the  prevention  websites  was  conducted  to  identify  the  ways  through  which  the  public  is  informed  about  cyber-harassment  as  deviance.  Finally,  we  examine  the  limitations  of  the  preventive  measures  undertaken  and  propose  some  alternative  solutions.</w:t>
      </w:r>
    </w:p>
    <w:p>
      <w:pPr>
        <w:pStyle w:val="Heading1"/>
      </w:pPr>
      <w:bookmarkStart w:id="14" w:name="_Toc16"/>
      <w:r>
        <w:t>Outcome</w:t>
      </w:r>
      <w:bookmarkEnd w:id="14"/>
    </w:p>
    <w:p>
      <w:pPr/>
      <w:r>
        <w:rPr/>
        <w:t xml:space="preserve">DÉVIANCE ET SOCIÉTÉ4052019, vol. 43, no 3, pp. 389-419Prévenir  le  cyberharcèlement  en  France  et  au  Royaume-Uni  :  une  tâche  impossible  ?Deux  types  de  prévention  se  dégagent  alors  ici.  Une  prévention  primaire, qui  s’élabore  à  travers  un  travail  d’anticipation  ;  on  vise  à  éduquer  les  futurs  internautes  susceptibles  d’être  victimes/agresseurs  un  jour  et  pour  cela,  on  développe des moyens éducatifs et législatifs, en mettant à contribution leurs accompagnants  qui  doivent  servir  de  «  modèle  »  et  les  guider.  Bien  entendu,  le  fléau  existe  déjà  mais  on  tente,  par  la  prévention,  de  changer  les  compor-tements  et  les  mentalités  en  amont  pour  un  résultat  d’éradication  en  aval. Mais  aussi  une  prévention  secondaire,  où  l’objectif  est  de  réduire  l’impact  du  dommage  existant  en  le  traitant  le  plus  vite  possible  pour  en  réduire  la  pro-pagation.  Les  stratégies  personnelles  sont  encouragées,  et  notamment  celles  en  vue  d’éviter  d’être  une  fois  de  plus  touché  par  le  problème  en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FE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2025-10-18T12:53:15+00:00</dcterms:created>
  <dcterms:modified xsi:type="dcterms:W3CDTF">2025-10-18T12:53:15+00:00</dcterms:modified>
</cp:coreProperties>
</file>

<file path=docProps/custom.xml><?xml version="1.0" encoding="utf-8"?>
<Properties xmlns="http://schemas.openxmlformats.org/officeDocument/2006/custom-properties" xmlns:vt="http://schemas.openxmlformats.org/officeDocument/2006/docPropsVTypes"/>
</file>