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Género e experiências digitais. Tensões entre estereótipos e autonomias</w:t></w:r></w:p><w:p><w:pPr><w:pStyle w:val="Title"/></w:pPr><w:r><w:t>Engl. transl.: Gender and digital experiences. Tensions between stereotypes and autonomies.</w:t></w:r></w:p><w:p><w:pPr><w:pStyle w:val="Heading1"/></w:pPr><w:bookmarkStart w:id="1" w:name="_Toc3"/><w:r><w:t>Keywords</w:t></w:r><w:bookmarkEnd w:id="1"/></w:p><w:p><w:pPr><w:numPr><w:ilvl w:val="0"/><w:numId w:val="5"/></w:numPr></w:pPr><w:r><w:rPr/><w:t xml:space="preserve">Gender and digital practices</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Issued</w:t></w:r><w:bookmarkEnd w:id="4"/></w:p><w:p><w:pPr/><w:r><w:rPr/><w:t xml:space="preserve">2020</w:t></w:r></w:p><w:p><w:pPr><w:pStyle w:val="Heading2"/></w:pPr><w:bookmarkStart w:id="5" w:name="_Toc7"/><w:r><w:t>Language</w:t></w:r><w:bookmarkEnd w:id="5"/></w:p><w:p><w:pPr/><w:r><w:rPr/><w:t xml:space="preserve">Portuguese</w:t></w:r></w:p><w:p><w:pPr><w:pStyle w:val="Heading2"/></w:pPr><w:bookmarkStart w:id="6" w:name="_Toc8"/><w:r><w:t>Start Page</w:t></w:r><w:bookmarkEnd w:id="6"/></w:p><w:p><w:pPr><w:pStyle w:val="Heading2"/></w:pPr><w:bookmarkStart w:id="7" w:name="_Toc9"/><w:r><w:t>End Page</w:t></w:r><w:bookmarkEnd w:id="7"/></w:p><w:p><w:pPr><w:pStyle w:val="Heading2"/></w:pPr><w:bookmarkStart w:id="8" w:name="_Toc10"/><w:r><w:t>Editors</w:t></w:r><w:bookmarkEnd w:id="8"/></w:p><w:p><w:pPr/><w:r><w:rPr/><w:t xml:space="preserve">Cristina Ponte</w:t></w:r></w:p><w:p><w:pPr><w:pStyle w:val="Heading2"/></w:pPr><w:bookmarkStart w:id="9" w:name="_Toc11"/><w:r><w:t>Authors</w:t></w:r><w:bookmarkEnd w:id="9"/></w:p><w:p><w:pPr/><w:r><w:rPr/><w:t xml:space="preserve">Ferreira E.;Cardoso D.</w:t></w:r></w:p><w:p><w:pPr><w:pStyle w:val="Heading2"/></w:pPr><w:bookmarkStart w:id="10" w:name="_Toc12"/><w:r><w:t>Type</w:t></w:r><w:bookmarkEnd w:id="10"/></w:p><w:p><w:pPr/><w:r><w:rPr/><w:t xml:space="preserve">Book chapter</w:t></w:r></w:p><w:p><w:pPr><w:pStyle w:val="Heading2"/></w:pPr><w:bookmarkStart w:id="11" w:name="_Toc13"/><w:r><w:t>Book title</w:t></w:r><w:bookmarkEnd w:id="11"/></w:p><w:p><w:pPr/><w:r><w:rPr/><w:t xml:space="preserve">Nós na Rede. Ambientes digitais de crianças e jovens</w:t></w:r></w:p><w:p><w:pPr><w:pStyle w:val="Heading2"/></w:pPr><w:bookmarkStart w:id="12" w:name="_Toc14"/><w:r><w:t>Publisher</w:t></w:r><w:bookmarkEnd w:id="12"/></w:p><w:p><w:pPr/><w:r><w:rPr/><w:t xml:space="preserve">Edições Almedina & ERC (Entidade Reguladora para a Comunicação)</w:t></w:r></w:p><w:p><w:pPr><w:pStyle w:val="Heading2"/></w:pPr><w:bookmarkStart w:id="13" w:name="_Toc15"/><w:r><w:t>Place</w:t></w:r><w:bookmarkEnd w:id="13"/></w:p><w:p><w:pPr/><w:r><w:rPr/><w:t xml:space="preserve">Coimbra</w:t></w:r></w:p><w:p><w:pPr><w:pStyle w:val="Heading2"/></w:pPr><w:bookmarkStart w:id="14" w:name="_Toc16"/><w:r><w:t>Topics</w:t></w:r><w:bookmarkEnd w:id="14"/></w:p><w:p><w:pPr><w:pStyle w:val="Heading2"/></w:pPr><w:bookmarkStart w:id="15" w:name="_Toc17"/><w:r><w:t>Sample</w:t></w:r><w:bookmarkEnd w:id="15"/></w:p><w:p><w:pPr/><w:r><w:rPr/><w:t xml:space="preserve">1861  children (9-17 years old) - the Portuguese sample of the EU Kids Online survey (2017-2019). Data collected in 2018.</w:t></w:r></w:p><w:p><w:pPr><w:pStyle w:val="Heading2"/></w:pPr><w:bookmarkStart w:id="16" w:name="_Toc18"/><w:r><w:t>Implications For Parents About</w:t></w:r><w:bookmarkEnd w:id="16"/></w:p><w:p><w:pPr/><w:r><w:rPr/><w:t xml:space="preserve">Parental practices / parental mediation</w:t></w:r></w:p><w:p><w:pPr><w:pStyle w:val="Heading2"/></w:pPr><w:bookmarkStart w:id="17" w:name="_Toc19"/><w:r><w:t>Implications For Educators About</w:t></w:r><w:bookmarkEnd w:id="17"/></w:p><w:p><w:pPr/><w:r><w:rPr/><w:t xml:space="preserve">STEM Education</w:t></w:r></w:p><w:p><w:pPr><w:pStyle w:val="Heading1"/></w:pPr><w:bookmarkStart w:id="18" w:name="_Toc20"/><w:r><w:t>Abstract</w:t></w:r><w:bookmarkEnd w:id="18"/></w:p><w:p><w:pPr/><w:r><w:rPr/><w:t xml:space="preserve">This chapter discusses how gender roles prevailing in Portugal are related to children's and youth's answers. The analysis explores responses related to digital and non-digital environments, uses of new media and behaviors and institutions that impact on the digital experience. Concluding that a greater access and use of technologies by girls have not altered gender stereotypes in the use of ICT, the authors recommend the creation of contexts that allow children and young people to fully express their identities, transcending stereotyped categories of gender, expanding the range of options available and opening spaces for experiences and identities for both girls and boys.</w:t></w:r></w:p><w:p><w:pPr><w:pStyle w:val="Heading1"/></w:pPr><w:bookmarkStart w:id="19" w:name="_Toc21"/><w:r><w:t>Outcome</w:t></w:r><w:bookmarkEnd w:id="19"/></w:p><w:p><w:pPr/><w:r><w:rPr/><w:t xml:space="preserve">Analyzing all answers by gender, the authors identify gender stereotypes in relation to offline practices, ICT uses, self-representation of digital skills, experience of bothering situations and family mediation. Gender stereotypes emerge as less evident at school, pointing to its role regarding gender equality.</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64AF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2025-10-14T04:57:45+00:00</dcterms:created>
  <dcterms:modified xsi:type="dcterms:W3CDTF">2025-10-14T04:57:45+00:00</dcterms:modified>
</cp:coreProperties>
</file>

<file path=docProps/custom.xml><?xml version="1.0" encoding="utf-8"?>
<Properties xmlns="http://schemas.openxmlformats.org/officeDocument/2006/custom-properties" xmlns:vt="http://schemas.openxmlformats.org/officeDocument/2006/docPropsVTypes"/>
</file>