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The Victim–Perpetrator Overlap in Financial Cybercrime: Evidence and Reflection on the Overlap of Youth’s On-Line Victimization and Perpetration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2016</w:t></w:r></w:p><w:p><w:pPr><w:pStyle w:val="Heading2"/></w:pPr><w:bookmarkStart w:id="3" w:name="_Toc4"/><w:r><w:t>DOI</w:t></w:r><w:bookmarkEnd w:id="3"/></w:p><w:p><w:pPr/><w:r><w:rPr/><w:t xml:space="preserve">10.1080/01639625.2015.1060796</w:t></w:r></w:p><w:p><w:pPr><w:pStyle w:val="Heading2"/></w:pPr><w:bookmarkStart w:id="4" w:name="_Toc5"/><w:r><w:t>Issued</w:t></w:r><w:bookmarkEnd w:id="4"/></w:p><w:p><w:pPr/><w:r><w:rPr/><w:t xml:space="preserve">2016</w:t></w:r></w:p><w:p><w:pPr><w:pStyle w:val="Heading2"/></w:pPr><w:bookmarkStart w:id="5" w:name="_Toc6"/><w:r><w:t>Language</w:t></w:r><w:bookmarkEnd w:id="5"/></w:p><w:p><w:pPr/><w:r><w:rPr/><w:t xml:space="preserve">English</w:t></w:r></w:p><w:p><w:pPr><w:pStyle w:val="Heading2"/></w:pPr><w:bookmarkStart w:id="6" w:name="_Toc7"/><w:r><w:t>Volume</w:t></w:r><w:bookmarkEnd w:id="6"/></w:p><w:p><w:pPr/><w:r><w:rPr/><w:t xml:space="preserve">37</w:t></w:r></w:p><w:p><w:pPr><w:pStyle w:val="Heading2"/></w:pPr><w:bookmarkStart w:id="7" w:name="_Toc8"/><w:r><w:t>Issue</w:t></w:r><w:bookmarkEnd w:id="7"/></w:p><w:p><w:pPr/><w:r><w:rPr/><w:t xml:space="preserve">5</w:t></w:r></w:p><w:p><w:pPr><w:pStyle w:val="Heading2"/></w:pPr><w:bookmarkStart w:id="8" w:name="_Toc9"/><w:r><w:t>Start Page</w:t></w:r><w:bookmarkEnd w:id="8"/></w:p><w:p><w:pPr><w:pStyle w:val="Heading2"/></w:pPr><w:bookmarkStart w:id="9" w:name="_Toc10"/><w:r><w:t>End Page</w:t></w:r><w:bookmarkEnd w:id="9"/></w:p><w:p><w:pPr><w:pStyle w:val="Heading2"/></w:pPr><w:bookmarkStart w:id="10" w:name="_Toc11"/><w:r><w:t>Authors</w:t></w:r><w:bookmarkEnd w:id="10"/></w:p><w:p><w:pPr/><w:r><w:rPr/><w:t xml:space="preserve">Kerstens J.;Jansen J.</w:t></w:r></w:p><w:p><w:pPr><w:pStyle w:val="Heading2"/></w:pPr><w:bookmarkStart w:id="11" w:name="_Toc12"/><w:r><w:t>Type</w:t></w:r><w:bookmarkEnd w:id="11"/></w:p><w:p><w:pPr/><w:r><w:rPr/><w:t xml:space="preserve">Journal article</w:t></w:r></w:p><w:p><w:pPr><w:pStyle w:val="Heading2"/></w:pPr><w:bookmarkStart w:id="12" w:name="_Toc13"/><w:r><w:t>Journal</w:t></w:r><w:bookmarkEnd w:id="12"/></w:p><w:p><w:pPr/><w:r><w:rPr/><w:t xml:space="preserve">Deviant Behavior</w:t></w:r></w:p><w:p><w:pPr><w:pStyle w:val="Heading2"/></w:pPr><w:bookmarkStart w:id="13" w:name="_Toc14"/><w:r><w:t>Publisher</w:t></w:r><w:bookmarkEnd w:id="13"/></w:p><w:p><w:pPr/><w:r><w:rPr/><w:t xml:space="preserve">Informa UK Limited</w:t></w:r></w:p><w:p><w:pPr><w:pStyle w:val="Heading2"/></w:pPr><w:bookmarkStart w:id="14" w:name="_Toc15"/><w:r><w:t>Topics</w:t></w:r><w:bookmarkEnd w:id="14"/></w:p><w:p><w:pPr/><w:r><w:rPr/><w:t xml:space="preserve">Risks and harms</w:t></w:r></w:p><w:p><w:pPr><w:pStyle w:val="Heading2"/></w:pPr><w:bookmarkStart w:id="15" w:name="_Toc16"/><w:r><w:t>Sample</w:t></w:r><w:bookmarkEnd w:id="15"/></w:p><w:p><w:pPr/><w:r><w:rPr/><w:t xml:space="preserve">"The data-analysis was based on 6,299 completed questionnaires filled in by participants (51.2% male) attending primary school (29.3%) and secondary schools (70.7%). The age range of the sample was 11 to 18 years (M = 13.0, SD = 1.9)." (Kerstens & Jansen, 2016, p. 588)</w:t></w:r></w:p><w:p><w:pPr><w:pStyle w:val="Heading2"/></w:pPr><w:bookmarkStart w:id="16" w:name="_Toc17"/><w:r><w:t>Implications For Stakeholders About</w:t></w:r><w:bookmarkEnd w:id="16"/></w:p><w:p><w:pPr/><w:r><w:rPr/><w:t xml:space="preserve">Researchers</w:t></w:r></w:p><w:p><w:pPr><w:pStyle w:val="Heading1"/></w:pPr><w:bookmarkStart w:id="17" w:name="_Toc18"/><w:r><w:t>Abstract</w:t></w:r><w:bookmarkEnd w:id="17"/></w:p><w:p><w:pPr/><w:r><w:rPr/><w:t xml:space="preserve">This study investigates the victim–perpetrator overlap for financial cybercrimes: auction fraud, virtual theft, and identity fraud. Conducting a crosssectional study among Dutch youth aged 10 to 18 (N = 6,299), the results show that the victim–perpetrator overlap for financial cybercrime is considerable. Perpetration is strongly motivated by retaliation. The findings from the multinomial regression model show that low self-control and
high on-line disinhibition are positively and significantly associated with victimization and perpetration. The findings demonstrate that the overlap between financial cybercrime victimization and perpetration is partially explained by retaliation, low self-control and on-line disinhibition, suggesting that state-dependency and individual heterogeneity explanations should be supplemented by explanations funded in the dynamics of the
on-line environment.</w:t></w:r></w:p><w:p><w:pPr><w:pStyle w:val="Heading1"/></w:pPr><w:bookmarkStart w:id="18" w:name="_Toc19"/><w:r><w:t>Outcome</w:t></w:r><w:bookmarkEnd w:id="18"/></w:p><w:p><w:pPr/><w:r><w:rPr/><w:t xml:space="preserve">"Our findings indicate that there is a considerable overlap in financial cybercrime victimization and perpetration."(Kerstens & Jansen, 2016, p. 593)
" First, although perpetrators of financial crime reported various motives for their perpetration behavior, perpetrators who are also a victim of financial cybercrime considerably more often mentioned retaliation as a motive for their perpetration behavior." (Kerstens & Jansen, 2016, p. 594)
"Second, victims, perpetrators, and victim–perpetrators are more likely to have a lower level of self-control." (Kerstens & Jansen, 2016, p. 594)
"Third, on-line disinhibition and on-line self-disclosure—which is attributed to on-line disinhibition (Schouten et al. 2007)—are significantly related to victimization, perpetration, and the overlap between both. " (Kerstens & Jansen, 2016, p. 594)
"In line with our expectations, the overlap between victimization and perpetration of financial cybercrime can be partially explained by (1) retaliation, (2) a low level of self-control, and (3) a high level of on-line disinhibited behavior. In general, our analyses revealed that victims, perpetrators, and victim–perpetrators of financial cybercrime share similar characteristics: being male; above average Internet use; a higher level of on-line disinhibition and selfdisclosure; a lower level of self-control. Our analyses also revealed that the profile of victim– perpetrators is more in line with the profile of pure perpetrators than of pure victims." (Kerstens & Jansen, 2016, p. 595)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2025-10-21T00:09:59+00:00</dcterms:created>
  <dcterms:modified xsi:type="dcterms:W3CDTF">2025-10-21T00:09:59+00:00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