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Screen-based behaviour in school-aged children with long-term illness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DOI</w:t>
      </w:r>
      <w:bookmarkEnd w:id="2"/>
    </w:p>
    <w:p>
      <w:pPr/>
      <w:r>
        <w:rPr/>
        <w:t xml:space="preserve">10.1186/s12889-016-2804-8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2015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Volume</w:t>
      </w:r>
      <w:bookmarkEnd w:id="5"/>
    </w:p>
    <w:p>
      <w:pPr/>
      <w:r>
        <w:rPr/>
        <w:t xml:space="preserve">16</w:t>
      </w:r>
    </w:p>
    <w:p>
      <w:pPr>
        <w:pStyle w:val="Heading2"/>
      </w:pPr>
      <w:bookmarkStart w:id="6" w:name="_Toc7"/>
      <w:r>
        <w:t>Issue</w:t>
      </w:r>
      <w:bookmarkEnd w:id="6"/>
    </w:p>
    <w:p>
      <w:pPr/>
      <w:r>
        <w:rPr/>
        <w:t xml:space="preserve">1</w:t>
      </w:r>
    </w:p>
    <w:p>
      <w:pPr>
        <w:pStyle w:val="Heading2"/>
      </w:pPr>
      <w:bookmarkStart w:id="7" w:name="_Toc8"/>
      <w:r>
        <w:t>Authors</w:t>
      </w:r>
      <w:bookmarkEnd w:id="7"/>
    </w:p>
    <w:p>
      <w:pPr/>
      <w:r>
        <w:rPr/>
        <w:t xml:space="preserve">Husarova D.;Geckova A.;Blinka L.;Ševčíková A.;van Dijk J.;Reijneveld S.</w:t>
      </w:r>
    </w:p>
    <w:p>
      <w:pPr>
        <w:pStyle w:val="Heading2"/>
      </w:pPr>
      <w:bookmarkStart w:id="8" w:name="_Toc9"/>
      <w:r>
        <w:t>Type</w:t>
      </w:r>
      <w:bookmarkEnd w:id="8"/>
    </w:p>
    <w:p>
      <w:pPr/>
      <w:r>
        <w:rPr/>
        <w:t xml:space="preserve">Journal article</w:t>
      </w:r>
    </w:p>
    <w:p>
      <w:pPr>
        <w:pStyle w:val="Heading2"/>
      </w:pPr>
      <w:bookmarkStart w:id="9" w:name="_Toc10"/>
      <w:r>
        <w:t>Journal</w:t>
      </w:r>
      <w:bookmarkEnd w:id="9"/>
    </w:p>
    <w:p>
      <w:pPr/>
      <w:r>
        <w:rPr/>
        <w:t xml:space="preserve">BMC Public Health</w:t>
      </w:r>
    </w:p>
    <w:p>
      <w:pPr>
        <w:pStyle w:val="Heading2"/>
      </w:pPr>
      <w:bookmarkStart w:id="10" w:name="_Toc11"/>
      <w:r>
        <w:t>Publisher</w:t>
      </w:r>
      <w:bookmarkEnd w:id="10"/>
    </w:p>
    <w:p>
      <w:pPr/>
      <w:r>
        <w:rPr/>
        <w:t xml:space="preserve">Springer Science and Business Media LLC</w:t>
      </w:r>
    </w:p>
    <w:p>
      <w:pPr>
        <w:pStyle w:val="Heading2"/>
      </w:pPr>
      <w:bookmarkStart w:id="11" w:name="_Toc12"/>
      <w:r>
        <w:t>Topics</w:t>
      </w:r>
      <w:bookmarkEnd w:id="11"/>
    </w:p>
    <w:p>
      <w:pPr>
        <w:numPr>
          <w:ilvl w:val="0"/>
          <w:numId w:val="5"/>
        </w:numPr>
      </w:pPr>
      <w:r>
        <w:rPr/>
        <w:t xml:space="preserve">Internet usage, practices and engagement</w:t>
      </w:r>
    </w:p>
    <w:p>
      <w:pPr>
        <w:numPr>
          <w:ilvl w:val="0"/>
          <w:numId w:val="5"/>
        </w:numPr>
      </w:pPr>
      <w:r>
        <w:rPr/>
        <w:t xml:space="preserve">Wellbeing</w:t>
      </w:r>
    </w:p>
    <w:p>
      <w:pPr>
        <w:numPr>
          <w:ilvl w:val="0"/>
          <w:numId w:val="5"/>
        </w:numPr>
      </w:pPr>
      <w:r>
        <w:rPr/>
        <w:t xml:space="preserve">Risks and harms</w:t>
      </w:r>
    </w:p>
    <w:p>
      <w:pPr>
        <w:numPr>
          <w:ilvl w:val="0"/>
          <w:numId w:val="5"/>
        </w:numPr>
      </w:pPr>
      <w:r>
        <w:rPr/>
        <w:t xml:space="preserve">Access, inequalities and vulnerabilities</w:t>
      </w:r>
    </w:p>
    <w:p>
      <w:pPr>
        <w:pStyle w:val="Heading2"/>
      </w:pPr>
      <w:bookmarkStart w:id="12" w:name="_Toc13"/>
      <w:r>
        <w:t>Sample</w:t>
      </w:r>
      <w:bookmarkEnd w:id="12"/>
    </w:p>
    <w:p>
      <w:pPr/>
      <w:r>
        <w:rPr/>
        <w:t xml:space="preserve">2682 adolescents (mean age: 14.11; 49.7 % boys)</w:t>
      </w:r>
    </w:p>
    <w:p>
      <w:pPr>
        <w:pStyle w:val="Heading1"/>
      </w:pPr>
      <w:bookmarkStart w:id="13" w:name="_Toc14"/>
      <w:r>
        <w:t>Abstract</w:t>
      </w:r>
      <w:bookmarkEnd w:id="13"/>
    </w:p>
    <w:p>
      <w:pPr/>
      <w:r>
        <w:rPr/>
        <w:t xml:space="preserve">Background: Evidence is lacking on the screen-based behaviour of adolescents with a chronic condition. The aim of our study was to analyse differences in screen-based behaviour of adolescents by long-term illness, asthma and learning disabilities.
Methods: We used data from the cross-sectional Health Behaviour of School-aged Children study collected in 2014 among Slovak adolescents (age 13 to 15 years old, N = 2682, 49.7 % boys). We analysed the associations between screen-based behaviour and long-term illness, asthma and learning disabilities using logistic regression models adjusted for gender.
Results: We found no associations between screen-based behaviour and long-term illness, except that children with asthma had a 1.60-times higher odds of excessively playing computer games than healthy children (95 % confidence interval of odds ratio (CI): 1.11–2.30). Children with learning disabilities had 1.71-times higher odds of risky use of the Internet (95 % CI: 1.19–2.45).
Conclusion: Adolescents with a long-term illness or with a chronic condition or a learning disability do not differ from their peers in screen-based activities. Exceptions are children with asthma and children with learning disabilities, who reported more risky screen-based behaviour.</w:t>
      </w:r>
    </w:p>
    <w:p>
      <w:pPr>
        <w:pStyle w:val="Heading1"/>
      </w:pPr>
      <w:bookmarkStart w:id="14" w:name="_Toc15"/>
      <w:r>
        <w:t>Outcome</w:t>
      </w:r>
      <w:bookmarkEnd w:id="14"/>
    </w:p>
    <w:p>
      <w:pPr/>
      <w:r>
        <w:rPr/>
        <w:t xml:space="preserve">"The study found no associations between screen-based behaviour and long-term illness, except that children with asthma had a 1.60-times higher odds of excessively playing computer games than healthy children. Children with learning disabilities had 1.71-times higher odds of risky use of the Internet." (Husarova, et al, 2015)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03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E19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2025-11-03T20:20:37+00:00</dcterms:created>
  <dcterms:modified xsi:type="dcterms:W3CDTF">2025-11-03T20:20:37+00:00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