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as One of the Key Determinants of Media Education of Young School-age Children</w:t>
      </w:r>
    </w:p>
    <w:p>
      <w:pPr>
        <w:pStyle w:val="Heading1"/>
      </w:pPr>
      <w:bookmarkStart w:id="1" w:name="_Toc2"/>
      <w:r>
        <w:t>Details</w:t>
      </w:r>
      <w:bookmarkEnd w:id="1"/>
    </w:p>
    <w:p>
      <w:pPr>
        <w:pStyle w:val="Heading2"/>
      </w:pPr>
      <w:bookmarkStart w:id="2" w:name="_Toc3"/>
      <w:r>
        <w:t>DOI</w:t>
      </w:r>
      <w:bookmarkEnd w:id="2"/>
    </w:p>
    <w:p>
      <w:pPr/>
      <w:r>
        <w:rPr/>
        <w:t xml:space="preserve">10.15804/tner.2017.50.4.08</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50</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Juszczyk S.;Vargová M.;Uhrinová M.;Chanasová Z.;Kostelanský A.;Karasová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The New Educational Review</w:t>
      </w:r>
    </w:p>
    <w:p>
      <w:pPr>
        <w:pStyle w:val="Heading2"/>
      </w:pPr>
      <w:bookmarkStart w:id="12" w:name="_Toc13"/>
      <w:r>
        <w:t>Publisher</w:t>
      </w:r>
      <w:bookmarkEnd w:id="12"/>
    </w:p>
    <w:p>
      <w:pPr/>
      <w:r>
        <w:rPr/>
        <w:t xml:space="preserve">Wydawnictwo Adam Marszalek</w:t>
      </w:r>
    </w:p>
    <w:p>
      <w:pPr>
        <w:pStyle w:val="Heading2"/>
      </w:pPr>
      <w:bookmarkStart w:id="13" w:name="_Toc14"/>
      <w:r>
        <w:t>Topics</w:t>
      </w:r>
      <w:bookmarkEnd w:id="13"/>
    </w:p>
    <w:p>
      <w:pPr>
        <w:pStyle w:val="Heading2"/>
      </w:pPr>
      <w:bookmarkStart w:id="14" w:name="_Toc15"/>
      <w:r>
        <w:t>Sample</w:t>
      </w:r>
      <w:bookmarkEnd w:id="14"/>
    </w:p>
    <w:p>
      <w:pPr/>
      <w:r>
        <w:rPr/>
        <w:t xml:space="preserve">The research population included 151 teachers of primary education (5 male and 146 female respondents) and 27 head teachers or their representatives. There were conducted 48 focus interviews with 10 third grade pupils in a target group (480 pupils). There were 498 parents (92 male and 406 female respondents) who participated in our research.</w:t>
      </w:r>
    </w:p>
    <w:p>
      <w:pPr>
        <w:pStyle w:val="Heading1"/>
      </w:pPr>
      <w:bookmarkStart w:id="15" w:name="_Toc16"/>
      <w:r>
        <w:t>Abstract</w:t>
      </w:r>
      <w:bookmarkEnd w:id="15"/>
    </w:p>
    <w:p>
      <w:pPr/>
      <w:r>
        <w:rPr/>
        <w:t xml:space="preserve">The attitude of parents influences formation of children’s attitude to life. It is
even more noticeable when speaking about media. The proposed contribution
shows partial results of research carried out as a part of VEGA project No.
1/0913/15: Media literacy of young school-age children in the context of family and school cooperation. The character of the empirical research was diagnostic and quantitative-qualitative. The aim of the research was to examine media education performed in formal and non-formal ways among young schoolaged children in Slovakia. 28 schools from all over Slovakia were examined
in the presented research. The contribution focuses mainly on findings from questionnaires given to parents and other focus groups, i.e. pupils.</w:t>
      </w:r>
    </w:p>
    <w:p>
      <w:pPr>
        <w:pStyle w:val="Heading1"/>
      </w:pPr>
      <w:bookmarkStart w:id="16" w:name="_Toc17"/>
      <w:r>
        <w:t>Outcome</w:t>
      </w:r>
      <w:bookmarkEnd w:id="16"/>
    </w:p>
    <w:p>
      <w:pPr/>
      <w:r>
        <w:rPr/>
        <w:t xml:space="preserve">"The study found a significant difference in approach based on the parents’ sex concerning whether to control the child due to the fact that the parents consider their children capable of discerning what programs they are or are not allowed to watch." (Juszczyk, et al, 2017)
The findings show mothers tend to control their children more than fathers whether they observe rules. When it comes to computer use, the majority of parents do not allow their children to
play computer games with violent content, i.e., killing, drug abuse, etc. 
"The parents whose children attend church schools were more likely to establish rules. Some children have rules established in relation with content, not time. Some rules were related only to weekdays." (Juszczyk, et al,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2025-10-13T23:14:33+00:00</dcterms:created>
  <dcterms:modified xsi:type="dcterms:W3CDTF">2025-10-13T23:14:33+00:00</dcterms:modified>
</cp:coreProperties>
</file>

<file path=docProps/custom.xml><?xml version="1.0" encoding="utf-8"?>
<Properties xmlns="http://schemas.openxmlformats.org/officeDocument/2006/custom-properties" xmlns:vt="http://schemas.openxmlformats.org/officeDocument/2006/docPropsVTypes"/>
</file>