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online and face-to-face experiences of interpersonal violence and abuse and their subjective impact across five European countries.</w:t>
      </w:r>
    </w:p>
    <w:p>
      <w:pPr>
        <w:pStyle w:val="Heading1"/>
      </w:pPr>
      <w:bookmarkStart w:id="1" w:name="_Toc2"/>
      <w:r>
        <w:t>Details</w:t>
      </w:r>
      <w:bookmarkEnd w:id="1"/>
    </w:p>
    <w:p>
      <w:pPr>
        <w:pStyle w:val="Heading2"/>
      </w:pPr>
      <w:bookmarkStart w:id="2" w:name="_Toc3"/>
      <w:r>
        <w:t>DOI</w:t>
      </w:r>
      <w:bookmarkEnd w:id="2"/>
    </w:p>
    <w:p>
      <w:pPr/>
      <w:r>
        <w:rPr/>
        <w:t xml:space="preserve">10.1037/vio0000096</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7</w:t>
      </w:r>
    </w:p>
    <w:p>
      <w:pPr>
        <w:pStyle w:val="Heading2"/>
      </w:pPr>
      <w:bookmarkStart w:id="6" w:name="_Toc7"/>
      <w:r>
        <w:t>Issue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Barter C.;Stanley N.;Wood M.;Lanau A.;Aghtaie N.;Larkins C.;Øverlien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Psychology of Violence</w:t>
      </w:r>
    </w:p>
    <w:p>
      <w:pPr>
        <w:pStyle w:val="Heading2"/>
      </w:pPr>
      <w:bookmarkStart w:id="12" w:name="_Toc13"/>
      <w:r>
        <w:t>Publisher</w:t>
      </w:r>
      <w:bookmarkEnd w:id="12"/>
    </w:p>
    <w:p>
      <w:pPr/>
      <w:r>
        <w:rPr/>
        <w:t xml:space="preserve">American Psychological Association (APA)</w:t>
      </w:r>
    </w:p>
    <w:p>
      <w:pPr>
        <w:pStyle w:val="Heading2"/>
      </w:pPr>
      <w:bookmarkStart w:id="13" w:name="_Toc14"/>
      <w:r>
        <w:t>Topics</w:t>
      </w:r>
      <w:bookmarkEnd w:id="13"/>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4" w:name="_Toc15"/>
      <w:r>
        <w:t>Sample</w:t>
      </w:r>
      <w:bookmarkEnd w:id="14"/>
    </w:p>
    <w:p>
      <w:pPr/>
      <w:r>
        <w:rPr/>
        <w:t xml:space="preserve">A school-based survey was completed with 4,564 young people aged 14–17 across 5 European countries - including Norway, England, Bulgaria, Cyprus, Italy</w:t>
      </w:r>
    </w:p>
    <w:p>
      <w:pPr>
        <w:pStyle w:val="Heading2"/>
      </w:pPr>
      <w:bookmarkStart w:id="15" w:name="_Toc16"/>
      <w:r>
        <w:t>Implications For Parents About</w:t>
      </w:r>
      <w:bookmarkEnd w:id="15"/>
    </w:p>
    <w:p>
      <w:pPr>
        <w:pStyle w:val="Heading2"/>
      </w:pPr>
      <w:bookmarkStart w:id="16" w:name="_Toc17"/>
      <w:r>
        <w:t>Implications For Policy Makers About</w:t>
      </w:r>
      <w:bookmarkEnd w:id="16"/>
    </w:p>
    <w:p>
      <w:pPr>
        <w:pStyle w:val="Heading1"/>
      </w:pPr>
      <w:bookmarkStart w:id="17" w:name="_Toc18"/>
      <w:r>
        <w:t>Abstract</w:t>
      </w:r>
      <w:bookmarkEnd w:id="17"/>
    </w:p>
    <w:p>
      <w:pPr/>
      <w:r>
        <w:rPr/>
        <w:t xml:space="preserve">Objective: This paper explores the experiences and interconnection of young people’s online and offline (face-to-face) experiences of interpersonal violence and abuse (IPVA) victimization across 5 European countries (i.e., Bulgaria, Cyprus, England, Italy and Norway) and its subjective impact. Evidence on the association between online and offline forms of IPVA in young people’s relationships remains rare and even fewer studies address the subjective impact of these experiences. To our knowledge this is the first study to address these issues within a European context. Method: As part of a wider mixed-method study, a school-based survey was completed with 4,564 young people aged 14–17 across 5 European countries. Results: The findings showed that IPVA through new technologies, especially controlling behavior and surveillance, represented a common aspect of IPVA behaviors across the 5 country samples. There was a substantial intersection between online and offline forms of IPVA. In 3 of the 5 country samples, IPVA prevalence rates were not significantly associated with gender. However, for each form of IPVA studied, the reported subjective impact was gendered: Girls reported greater negative impact than boys. Conclusion: Our research showed that youth programs aimed at preventing or responding to adolescent IPVA need to pay careful attention to how new technologies are used within young people’s relationships and the ways in which these experiences may be differentiated by gender.</w:t>
      </w:r>
    </w:p>
    <w:p>
      <w:pPr>
        <w:pStyle w:val="Heading1"/>
      </w:pPr>
      <w:bookmarkStart w:id="18" w:name="_Toc19"/>
      <w:r>
        <w:t>Outcome</w:t>
      </w:r>
      <w:bookmarkEnd w:id="18"/>
    </w:p>
    <w:p>
      <w:pPr/>
      <w:r>
        <w:rPr/>
        <w:t xml:space="preserve">Our research showed that youth programs aimed at preventing or responding to adolescent IPVA need to pay careful attention to how new technologies are used within young people’s relationships and the ways in which these experiences may be differentiated by gender.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3B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2025-11-02T00:59:30+00:00</dcterms:created>
  <dcterms:modified xsi:type="dcterms:W3CDTF">2025-11-02T00:59:30+00:00</dcterms:modified>
</cp:coreProperties>
</file>

<file path=docProps/custom.xml><?xml version="1.0" encoding="utf-8"?>
<Properties xmlns="http://schemas.openxmlformats.org/officeDocument/2006/custom-properties" xmlns:vt="http://schemas.openxmlformats.org/officeDocument/2006/docPropsVTypes"/>
</file>