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End-User Development Goes to School: Collaborative Learning with Makerspaces in Subject Areas</w:t>
      </w:r>
    </w:p>
    <w:p>
      <w:pPr>
        <w:pStyle w:val="Heading1"/>
      </w:pPr>
      <w:bookmarkStart w:id="1" w:name="_Toc2"/>
      <w:r>
        <w:t>Details</w:t>
      </w:r>
      <w:bookmarkEnd w:id="1"/>
    </w:p>
    <w:p>
      <w:pPr>
        <w:pStyle w:val="Heading2"/>
      </w:pPr>
      <w:bookmarkStart w:id="2" w:name="_Toc3"/>
      <w:r>
        <w:t>DOI</w:t>
      </w:r>
      <w:bookmarkEnd w:id="2"/>
    </w:p>
    <w:p>
      <w:pPr/>
      <w:r>
        <w:rPr/>
        <w:t xml:space="preserve">10.1007/978-3-030-24781-2_16</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Malizia A., Valtolina S., Morch A., Serrano A., Stratton A. (eds)</w:t>
      </w:r>
    </w:p>
    <w:p>
      <w:pPr>
        <w:pStyle w:val="Heading2"/>
      </w:pPr>
      <w:bookmarkStart w:id="8" w:name="_Toc9"/>
      <w:r>
        <w:t>Authors</w:t>
      </w:r>
      <w:bookmarkEnd w:id="8"/>
    </w:p>
    <w:p>
      <w:pPr/>
      <w:r>
        <w:rPr/>
        <w:t xml:space="preserve">Mørch A.;Litherland K.;Andersen R.</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End-User Development. IS-EUD 2019. Lecture Notes in Computer Science</w:t>
      </w:r>
    </w:p>
    <w:p>
      <w:pPr>
        <w:pStyle w:val="Heading2"/>
      </w:pPr>
      <w:bookmarkStart w:id="11" w:name="_Toc12"/>
      <w:r>
        <w:t>Journal</w:t>
      </w:r>
      <w:bookmarkEnd w:id="11"/>
    </w:p>
    <w:p>
      <w:pPr/>
      <w:r>
        <w:rPr/>
        <w:t xml:space="preserve">End-User Development,Lecture Notes in Computer Science</w:t>
      </w:r>
    </w:p>
    <w:p>
      <w:pPr>
        <w:pStyle w:val="Heading2"/>
      </w:pPr>
      <w:bookmarkStart w:id="12" w:name="_Toc13"/>
      <w:r>
        <w:t>Publisher</w:t>
      </w:r>
      <w:bookmarkEnd w:id="12"/>
    </w:p>
    <w:p>
      <w:pPr/>
      <w:r>
        <w:rPr/>
        <w:t xml:space="preserve">Springer International Publishing</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4" w:name="_Toc15"/>
      <w:r>
        <w:t>Sample</w:t>
      </w:r>
      <w:bookmarkEnd w:id="14"/>
    </w:p>
    <w:p>
      <w:pPr/>
      <w:r>
        <w:rPr/>
        <w:t xml:space="preserve">The participants (N = 19) were pupils in school years 7 to 10 (12–15 years old). We interviewed 17 of the pupils, using a semi-structured interview guide (246 min).</w:t>
      </w:r>
    </w:p>
    <w:p>
      <w:pPr>
        <w:pStyle w:val="Heading2"/>
      </w:pPr>
      <w:bookmarkStart w:id="15" w:name="_Toc16"/>
      <w:r>
        <w:t>Implications For Parents About</w:t>
      </w:r>
      <w:bookmarkEnd w:id="15"/>
    </w:p>
    <w:p>
      <w:pPr/>
      <w:r>
        <w:rPr/>
        <w:t xml:space="preserve">Parenting guidance / support </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Digital citizenship</w:t>
      </w:r>
    </w:p>
    <w:p>
      <w:pPr>
        <w:pStyle w:val="Heading2"/>
      </w:pPr>
      <w:bookmarkStart w:id="17" w:name="_Toc18"/>
      <w:r>
        <w:t>Implications For Policy Makers About</w:t>
      </w:r>
      <w:bookmarkEnd w:id="17"/>
    </w:p>
    <w:p>
      <w:pPr/>
      <w:r>
        <w:rPr/>
        <w:t xml:space="preserve">High-quality content online for children and young people</w:t>
      </w:r>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Norwegian K-12 curriculum reform for 2020 aims to integrate programming in different subject areas, especially math, natural sciences, arts and crafts, and music. There are challenges and opportunities associated with this scenario. A challenge is that students need to learn two topics simultaneously, and an opportunity is that teachers can adopt computer science skills gradually by building on their domain expertise and the notion of different levels of modification since most teachers are not yet fluent in computer science. We present an exploratory case study to show that end-user development (EUD) is a possible solution for the Norwegian situation. The case study demonstrates evidence of collaborative learning with EUD in a makerspace in an advanced placement science classroom for a mixture of gifted underachievers and high-achievers.</w:t>
      </w:r>
    </w:p>
    <w:p>
      <w:pPr>
        <w:pStyle w:val="Heading1"/>
      </w:pPr>
      <w:bookmarkStart w:id="20" w:name="_Toc21"/>
      <w:r>
        <w:t>Outcome</w:t>
      </w:r>
      <w:bookmarkEnd w:id="20"/>
    </w:p>
    <w:p>
      <w:pPr/>
      <w:r>
        <w:rPr/>
        <w:t xml:space="preserve">We have found tentative evidence that intermediate representations (e.g. block-based programming) can aid learning of more advanced programming and that pupils prefer it when they can see the relevance of what they do in school to their actual lives. (Mørch et al.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342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2025-10-19T10:19:49+00:00</dcterms:created>
  <dcterms:modified xsi:type="dcterms:W3CDTF">2025-10-19T10:19:49+00:00</dcterms:modified>
</cp:coreProperties>
</file>

<file path=docProps/custom.xml><?xml version="1.0" encoding="utf-8"?>
<Properties xmlns="http://schemas.openxmlformats.org/officeDocument/2006/custom-properties" xmlns:vt="http://schemas.openxmlformats.org/officeDocument/2006/docPropsVTypes"/>
</file>