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Tilgang, bruk, risiko og muligheter. Norske barn på Internett. Resultater fra EU Kids Online-undersøkelsen i Norge 2018</w:t>
      </w:r>
    </w:p>
    <w:p>
      <w:pPr>
        <w:pStyle w:val="Title"/>
      </w:pPr>
      <w:r>
        <w:t>Engl. transl.: Access, use, risk and opportunities. Norwegian chlildren on the Internet. Results of the EU Kids Online Survey from 2018</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risk</w:t>
      </w:r>
    </w:p>
    <w:p>
      <w:pPr>
        <w:numPr>
          <w:ilvl w:val="0"/>
          <w:numId w:val="5"/>
        </w:numPr>
      </w:pPr>
      <w:r>
        <w:rPr/>
        <w:t xml:space="preserve">opportunity</w:t>
      </w:r>
    </w:p>
    <w:p>
      <w:pPr>
        <w:numPr>
          <w:ilvl w:val="0"/>
          <w:numId w:val="5"/>
        </w:numPr>
      </w:pPr>
      <w:r>
        <w:rPr/>
        <w:t xml:space="preserve">access</w:t>
      </w:r>
    </w:p>
    <w:p>
      <w:pPr>
        <w:numPr>
          <w:ilvl w:val="0"/>
          <w:numId w:val="5"/>
        </w:numPr>
      </w:pPr>
      <w:r>
        <w:rPr/>
        <w:t xml:space="preserve">EU Kids</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Norwegian</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Staksrud E.;Ólafsson K.</w:t>
      </w:r>
    </w:p>
    <w:p>
      <w:pPr>
        <w:pStyle w:val="Heading2"/>
      </w:pPr>
      <w:bookmarkStart w:id="9" w:name="_Toc11"/>
      <w:r>
        <w:t>Type</w:t>
      </w:r>
      <w:bookmarkEnd w:id="9"/>
    </w:p>
    <w:p>
      <w:pPr/>
      <w:r>
        <w:rPr/>
        <w:t xml:space="preserve">Report and working paper</w:t>
      </w:r>
    </w:p>
    <w:p>
      <w:pPr>
        <w:pStyle w:val="Heading2"/>
      </w:pPr>
      <w:bookmarkStart w:id="10" w:name="_Toc12"/>
      <w:r>
        <w:t>Publisher</w:t>
      </w:r>
      <w:bookmarkEnd w:id="10"/>
    </w:p>
    <w:p>
      <w:pPr/>
      <w:r>
        <w:rPr/>
        <w:t xml:space="preserve">University of Oslo</w:t>
      </w:r>
    </w:p>
    <w:p>
      <w:pPr>
        <w:pStyle w:val="Heading2"/>
      </w:pPr>
      <w:bookmarkStart w:id="11" w:name="_Toc13"/>
      <w:r>
        <w:t>Place</w:t>
      </w:r>
      <w:bookmarkEnd w:id="11"/>
    </w:p>
    <w:p>
      <w:pPr/>
      <w:r>
        <w:rPr/>
        <w:t xml:space="preserve">Oslo</w:t>
      </w:r>
    </w:p>
    <w:p>
      <w:pPr>
        <w:pStyle w:val="Heading2"/>
      </w:pPr>
      <w:bookmarkStart w:id="12" w:name="_Toc14"/>
      <w:r>
        <w:t>Topics</w:t>
      </w:r>
      <w:bookmarkEnd w:id="12"/>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Access, inequalities and vulnerabilities</w:t>
      </w:r>
    </w:p>
    <w:p>
      <w:pPr>
        <w:pStyle w:val="Heading2"/>
      </w:pPr>
      <w:bookmarkStart w:id="13" w:name="_Toc15"/>
      <w:r>
        <w:t>Sample</w:t>
      </w:r>
      <w:bookmarkEnd w:id="13"/>
    </w:p>
    <w:p>
      <w:pPr/>
      <w:r>
        <w:rPr/>
        <w:t xml:space="preserve">1001 Children aged 9-17 and one of their parents (1001 parents)</w:t>
      </w:r>
    </w:p>
    <w:p>
      <w:pPr>
        <w:pStyle w:val="Heading2"/>
      </w:pPr>
      <w:bookmarkStart w:id="14" w:name="_Toc16"/>
      <w:r>
        <w:t>Implications For Parents About</w:t>
      </w:r>
      <w:bookmarkEnd w:id="14"/>
    </w:p>
    <w:p>
      <w:pPr>
        <w:pStyle w:val="Heading2"/>
      </w:pPr>
      <w:bookmarkStart w:id="15" w:name="_Toc17"/>
      <w:r>
        <w:t>Implications For Educators About</w:t>
      </w:r>
      <w:bookmarkEnd w:id="15"/>
    </w:p>
    <w:p>
      <w:pPr>
        <w:numPr>
          <w:ilvl w:val="0"/>
          <w:numId w:val="5"/>
        </w:numPr>
      </w:pPr>
      <w:r>
        <w:rPr/>
        <w:t xml:space="preserve">Digital citizenship</w:t>
      </w:r>
    </w:p>
    <w:p>
      <w:pPr>
        <w:numPr>
          <w:ilvl w:val="0"/>
          <w:numId w:val="5"/>
        </w:numPr>
      </w:pPr>
      <w:r>
        <w:rPr/>
        <w:t xml:space="preserve">STEM Education</w:t>
      </w:r>
    </w:p>
    <w:p>
      <w:pPr>
        <w:numPr>
          <w:ilvl w:val="0"/>
          <w:numId w:val="5"/>
        </w:numPr>
      </w:pPr>
      <w:r>
        <w:rPr/>
        <w:t xml:space="preserve">Professional development</w:t>
      </w:r>
    </w:p>
    <w:p>
      <w:pPr>
        <w:pStyle w:val="Heading2"/>
      </w:pPr>
      <w:bookmarkStart w:id="16" w:name="_Toc18"/>
      <w:r>
        <w:t>Implications For Policy Makers About</w:t>
      </w:r>
      <w:bookmarkEnd w:id="16"/>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pStyle w:val="Heading2"/>
      </w:pPr>
      <w:bookmarkStart w:id="17" w:name="_Toc19"/>
      <w:r>
        <w:t>Implications For Stakeholders About</w:t>
      </w:r>
      <w:bookmarkEnd w:id="17"/>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8" w:name="_Toc20"/>
      <w:r>
        <w:t>Abstract</w:t>
      </w:r>
      <w:bookmarkEnd w:id="18"/>
    </w:p>
    <w:p>
      <w:pPr/>
      <w:r>
        <w:rPr/>
        <w:t xml:space="preserve">This report focuses on overall results related to Internet access, use, opportunities and risk. Some of the results will be compared with data from the EU Kids Online survey in 2010 (Livingstone et al., 2011) to illustrate how the use of the Internet has changed among Norwegian children over time. In the 2010 survey, data was collected in the same way as in the 2018 survey - through recruitment by telephone for relevant households, and then collection of data from parents and children separately, face to face in the respondents' homes. For the 2010 survey, n = 1019 children. In both surveys, digital solutions (tablets) were used when answering the questionnaire. In the 2010 survey, the part of the survey that did not deal with sensitive topics was answered using a web-based interview. Note that the sample in the survey from 2010 was 9 - 16 years old, while the 2018 survey also includes the 17-year-olds.
In the 2018 survey, we asked questions about both use, skills and risk experiences in children, including, but not limited to: pornography, bullying, experiences with hate speech, sexting / receiving messages with sexual content (wanted and unwanted), contact with others you have not previously met face to face, meetings with contacts you only know from the web, potentially harmful user-generated content, misuse of personal information and parents' sharing of content on social media. Some of these areas were not mapped in the 2010 survey.</w:t>
      </w:r>
    </w:p>
    <w:p>
      <w:pPr>
        <w:pStyle w:val="Heading1"/>
      </w:pPr>
      <w:bookmarkStart w:id="19" w:name="_Toc21"/>
      <w:r>
        <w:t>Outcome</w:t>
      </w:r>
      <w:bookmarkEnd w:id="19"/>
    </w:p>
    <w:p>
      <w:pPr/>
      <w:r>
        <w:rPr/>
        <w:t xml:space="preserve">The report summarises the main findings of the EU Kids Online survey in Norway under a range of categories including access, use, risk and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41C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2025-11-03T04:16:46+00:00</dcterms:created>
  <dcterms:modified xsi:type="dcterms:W3CDTF">2025-11-03T04:16:46+00:00</dcterms:modified>
</cp:coreProperties>
</file>

<file path=docProps/custom.xml><?xml version="1.0" encoding="utf-8"?>
<Properties xmlns="http://schemas.openxmlformats.org/officeDocument/2006/custom-properties" xmlns:vt="http://schemas.openxmlformats.org/officeDocument/2006/docPropsVTypes"/>
</file>