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Passage to Malta: The Health and Wellbeing of Foreign Children in Malta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Cefai C.; Keresztes N;Galea N.;Spiteri R.</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Commissioner for Children</w:t>
      </w:r>
    </w:p>
    <w:p>
      <w:pPr>
        <w:pStyle w:val="Heading2"/>
      </w:pPr>
      <w:bookmarkStart w:id="8" w:name="_Toc9"/>
      <w:r>
        <w:t>Place</w:t>
      </w:r>
      <w:bookmarkEnd w:id="8"/>
    </w:p>
    <w:p>
      <w:pPr/>
      <w:r>
        <w:rPr/>
        <w:t xml:space="preserve">Malta</w:t>
      </w:r>
    </w:p>
    <w:p>
      <w:pPr>
        <w:pStyle w:val="Heading2"/>
      </w:pPr>
      <w:bookmarkStart w:id="9" w:name="_Toc10"/>
      <w:r>
        <w:t>Topics</w:t>
      </w:r>
      <w:bookmarkEnd w:id="9"/>
    </w:p>
    <w:p>
      <w:pPr>
        <w:numPr>
          <w:ilvl w:val="0"/>
          <w:numId w:val="5"/>
        </w:numPr>
      </w:pPr>
      <w:r>
        <w:rPr/>
        <w:t xml:space="preserve">Internet usage, practices and engagement</w:t>
      </w:r>
    </w:p>
    <w:p>
      <w:pPr>
        <w:numPr>
          <w:ilvl w:val="0"/>
          <w:numId w:val="5"/>
        </w:numPr>
      </w:pPr>
      <w:r>
        <w:rPr/>
        <w:t xml:space="preserve">Access, inequalities and vulnerabilities</w:t>
      </w:r>
    </w:p>
    <w:p>
      <w:pPr>
        <w:numPr>
          <w:ilvl w:val="0"/>
          <w:numId w:val="5"/>
        </w:numPr>
      </w:pPr>
      <w:r>
        <w:rPr/>
        <w:t xml:space="preserve">Wellbeing</w:t>
      </w:r>
    </w:p>
    <w:p>
      <w:pPr>
        <w:pStyle w:val="Heading2"/>
      </w:pPr>
      <w:bookmarkStart w:id="10" w:name="_Toc11"/>
      <w:r>
        <w:t>Sample</w:t>
      </w:r>
      <w:bookmarkEnd w:id="10"/>
    </w:p>
    <w:p>
      <w:pPr/>
      <w:r>
        <w:rPr/>
        <w:t xml:space="preserve">Study 1: 1000 foreign children aged 3-16 attending State, Church and Independent Schools, and Open Centres, and their parents and teachers.
Study 3: 374 students from primary and secondary school (state, independent and church) completed the subjective wellbeing questionnaire. 36 Primary and Secondary School foreign children of various nationalities attending State Schools and Open Centres took part in focus groups.</w:t>
      </w:r>
    </w:p>
    <w:p>
      <w:pPr>
        <w:pStyle w:val="Heading2"/>
      </w:pPr>
      <w:bookmarkStart w:id="11" w:name="_Toc12"/>
      <w:r>
        <w:t>Implications For Policy Makers About</w:t>
      </w:r>
      <w:bookmarkEnd w:id="11"/>
    </w:p>
    <w:p>
      <w:pPr>
        <w:pStyle w:val="Heading2"/>
      </w:pPr>
      <w:bookmarkStart w:id="12" w:name="_Toc13"/>
      <w:r>
        <w:t>Other PolicyMaker Implication</w:t>
      </w:r>
      <w:bookmarkEnd w:id="12"/>
    </w:p>
    <w:p>
      <w:pPr/>
      <w:r>
        <w:rPr/>
        <w:t xml:space="preserve">Offering internet access for populations who lack internet access</w:t>
      </w:r>
    </w:p>
    <w:p>
      <w:pPr>
        <w:pStyle w:val="Heading1"/>
      </w:pPr>
      <w:bookmarkStart w:id="13" w:name="_Toc14"/>
      <w:r>
        <w:t>Abstract</w:t>
      </w:r>
      <w:bookmarkEnd w:id="13"/>
    </w:p>
    <w:p>
      <w:pPr/>
      <w:r>
        <w:rPr/>
        <w:t xml:space="preserve"/>
      </w:r>
    </w:p>
    <w:p>
      <w:pPr>
        <w:pStyle w:val="Heading1"/>
      </w:pPr>
      <w:bookmarkStart w:id="14" w:name="_Toc15"/>
      <w:r>
        <w:t>Outcome</w:t>
      </w:r>
      <w:bookmarkEnd w:id="14"/>
    </w:p>
    <w:p>
      <w:pPr/>
      <w:r>
        <w:rPr/>
        <w:t xml:space="preserve">Half of the participants in Study 1 "use social media every day or most days of the week, another 20% do so from one to four days a week, and 20% never do so. Almost half play electronic games every day or most days of the week. More than one in five students do nothing/ rest every day." (Cefai et al., 2019, p. 139).
The majority of participants in Study 1 have access to the internet (96.7%). A small percentage of participants lack basic necessities (eg. internet access, and are more likely to come from Africa/Middle East. Students living in Open Centres expressed "frustration and sense of helplessness with their poor living conditions" (Cefai et al., 2019; p. 17) (eg. lack of internet access). 
Participants in Study 3 referenced the internet, TV and video games when they mentioned "the most important things which help them to feel good and positive about themselves and the world." (Cefai et al., 2019; p. 162).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404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2025-11-03T10:32:42+00:00</dcterms:created>
  <dcterms:modified xsi:type="dcterms:W3CDTF">2025-11-03T10:32:42+00:00</dcterms:modified>
</cp:coreProperties>
</file>

<file path=docProps/custom.xml><?xml version="1.0" encoding="utf-8"?>
<Properties xmlns="http://schemas.openxmlformats.org/officeDocument/2006/custom-properties" xmlns:vt="http://schemas.openxmlformats.org/officeDocument/2006/docPropsVTypes"/>
</file>