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Превенция на кибертормоза в училищна среда</w:t>
      </w:r>
    </w:p>
    <w:p>
      <w:pPr>
        <w:pStyle w:val="Title"/>
      </w:pPr>
      <w:r>
        <w:t>Engl. transl.: Prevention of cyberbullying in the school environment</w:t>
      </w:r>
    </w:p>
    <w:p>
      <w:pPr>
        <w:pStyle w:val="Heading1"/>
      </w:pPr>
      <w:bookmarkStart w:id="1" w:name="_Toc3"/>
      <w:r>
        <w:t>Keywords</w:t>
      </w:r>
      <w:bookmarkEnd w:id="1"/>
    </w:p>
    <w:p>
      <w:pPr>
        <w:numPr>
          <w:ilvl w:val="0"/>
          <w:numId w:val="5"/>
        </w:numPr>
      </w:pPr>
      <w:r>
        <w:rPr/>
        <w:t xml:space="preserve">bulling</w:t>
      </w:r>
    </w:p>
    <w:p>
      <w:pPr>
        <w:numPr>
          <w:ilvl w:val="0"/>
          <w:numId w:val="5"/>
        </w:numPr>
      </w:pPr>
      <w:r>
        <w:rPr/>
        <w:t xml:space="preserve">cyber bulling</w:t>
      </w:r>
    </w:p>
    <w:p>
      <w:pPr>
        <w:numPr>
          <w:ilvl w:val="0"/>
          <w:numId w:val="5"/>
        </w:numPr>
      </w:pPr>
      <w:r>
        <w:rPr/>
        <w:t xml:space="preserve">girls</w:t>
      </w:r>
    </w:p>
    <w:p>
      <w:pPr>
        <w:numPr>
          <w:ilvl w:val="0"/>
          <w:numId w:val="5"/>
        </w:numPr>
      </w:pPr>
      <w:r>
        <w:rPr/>
        <w:t xml:space="preserve">boys</w:t>
      </w:r>
    </w:p>
    <w:p>
      <w:pPr>
        <w:numPr>
          <w:ilvl w:val="0"/>
          <w:numId w:val="5"/>
        </w:numPr>
      </w:pPr>
      <w:r>
        <w:rPr/>
        <w:t xml:space="preserve">school environments</w:t>
      </w:r>
    </w:p>
    <w:p>
      <w:pPr>
        <w:numPr>
          <w:ilvl w:val="0"/>
          <w:numId w:val="5"/>
        </w:numPr>
      </w:pPr>
      <w:r>
        <w:rPr/>
        <w:t xml:space="preserve">prevention</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Bulgarian</w:t>
      </w:r>
    </w:p>
    <w:p>
      <w:pPr>
        <w:pStyle w:val="Heading2"/>
      </w:pPr>
      <w:bookmarkStart w:id="6" w:name="_Toc8"/>
      <w:r>
        <w:t>Volume</w:t>
      </w:r>
      <w:bookmarkEnd w:id="6"/>
    </w:p>
    <w:p>
      <w:pPr/>
      <w:r>
        <w:rPr/>
        <w:t xml:space="preserve">Vol. 40 . 2</w:t>
      </w:r>
    </w:p>
    <w:p>
      <w:pPr>
        <w:pStyle w:val="Heading2"/>
      </w:pPr>
      <w:bookmarkStart w:id="7" w:name="_Toc9"/>
      <w:r>
        <w:t>Issue</w:t>
      </w:r>
      <w:bookmarkEnd w:id="7"/>
    </w:p>
    <w:p>
      <w:pPr/>
      <w:r>
        <w:rPr/>
        <w:t xml:space="preserve">2/2020</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Mancheva R.</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Knowledge - International Journal</w:t>
      </w:r>
    </w:p>
    <w:p>
      <w:pPr>
        <w:pStyle w:val="Heading2"/>
      </w:pPr>
      <w:bookmarkStart w:id="13" w:name="_Toc15"/>
      <w:r>
        <w:t>Publisher</w:t>
      </w:r>
      <w:bookmarkEnd w:id="13"/>
    </w:p>
    <w:p>
      <w:pPr/>
      <w:r>
        <w:rPr/>
        <w:t xml:space="preserve">Springer Science and Business Media LLC</w:t>
      </w:r>
    </w:p>
    <w:p>
      <w:pPr>
        <w:pStyle w:val="Heading2"/>
      </w:pPr>
      <w:bookmarkStart w:id="14" w:name="_Toc16"/>
      <w:r>
        <w:t>Place</w:t>
      </w:r>
      <w:bookmarkEnd w:id="14"/>
    </w:p>
    <w:p>
      <w:pPr/>
      <w:r>
        <w:rPr/>
        <w:t xml:space="preserve">https://ikm.mk/ojs/index.php/KIJ/article/view/3925</w:t>
      </w:r>
    </w:p>
    <w:p>
      <w:pPr>
        <w:pStyle w:val="Heading2"/>
      </w:pPr>
      <w:bookmarkStart w:id="15" w:name="_Toc17"/>
      <w:r>
        <w:t>Topics</w:t>
      </w:r>
      <w:bookmarkEnd w:id="15"/>
    </w:p>
    <w:p>
      <w:pPr/>
      <w:r>
        <w:rPr/>
        <w:t xml:space="preserve">Risks and harms</w:t>
      </w:r>
    </w:p>
    <w:p>
      <w:pPr>
        <w:pStyle w:val="Heading2"/>
      </w:pPr>
      <w:bookmarkStart w:id="16" w:name="_Toc18"/>
      <w:r>
        <w:t>Sample</w:t>
      </w:r>
      <w:bookmarkEnd w:id="16"/>
    </w:p>
    <w:p>
      <w:pPr/>
      <w:r>
        <w:rPr/>
        <w:t xml:space="preserve">520 students aged 12-14 who were not subject to cyberattacks</w:t>
      </w:r>
    </w:p>
    <w:p>
      <w:pPr>
        <w:pStyle w:val="Heading2"/>
      </w:pPr>
      <w:bookmarkStart w:id="17" w:name="_Toc19"/>
      <w:r>
        <w:t>Implications For Educators About</w:t>
      </w:r>
      <w:bookmarkEnd w:id="17"/>
    </w:p>
    <w:p>
      <w:pPr/>
      <w:r>
        <w:rPr/>
        <w:t xml:space="preserve">Other</w:t>
      </w:r>
    </w:p>
    <w:p>
      <w:pPr>
        <w:pStyle w:val="Heading1"/>
      </w:pPr>
      <w:bookmarkStart w:id="18" w:name="_Toc20"/>
      <w:r>
        <w:t>Abstract</w:t>
      </w:r>
      <w:bookmarkEnd w:id="18"/>
    </w:p>
    <w:p>
      <w:pPr/>
      <w:r>
        <w:rPr/>
        <w:t xml:space="preserve">The study  aims  to  set  guidelines  for preventive  work  to  reduce  Cyberbullying. 520  students in two schools of the territory of the city of Blagoevgrad, aged  12-14, participated in the research during the period March-October 2019. Any of them were  subject  to online harassment.  Gender  differences  were found  in  terms  of  personal  attitudes  towards  cyber bullying,  as  well  as  the limited age-specific perception for its effects. The respondents declare non-acceptance of the situation, but also passivity towards  the  abuser.  They  use the  same  patterns  of  behavior  that are  associated  with  bullying  and  therefore think that they can handle it on their own. This requires the application of primary prevention specialists to increase the sensitivity of young people to this negative phenomenon.</w:t>
      </w:r>
    </w:p>
    <w:p>
      <w:pPr>
        <w:pStyle w:val="Heading1"/>
      </w:pPr>
      <w:bookmarkStart w:id="19" w:name="_Toc21"/>
      <w:r>
        <w:t>Outcome</w:t>
      </w:r>
      <w:bookmarkEnd w:id="19"/>
    </w:p>
    <w:p>
      <w:pPr/>
      <w:r>
        <w:rPr/>
        <w:t xml:space="preserve">The study aims to set guidelines for preventive work to reduce cyber bullying. 520 who were not subject to cyber attacks took part of the study. Gender differences were found in terms of personal attitudes towards cyber bullying, as well as а limited age-specific perception for its effects. Boys, unlike girls, think less about the causes of cyber bullying. The social sensitivity of the girls is also confirmed by the results of the activity related to the search for the cause of cyber bullying in their own actions. There is also a difference in the attitude towards cyber bullying. Although the main reaction is his rejection, girls do not prefer to ignore and avoid it, while the attitude of isolation from boys is more pronounced. As a whole, the respondents declare non-acceptance of the situation, but also passivity towards the abuser. They use the same patterns of behavior that are associated with bullying and therefore think they can handle it on their own. This requires the application of primary prevention specialists to increase the sensitivity of young people to this negative phenomenon.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231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2025-10-18T20:25:38+00:00</dcterms:created>
  <dcterms:modified xsi:type="dcterms:W3CDTF">2025-10-18T20:25:38+00:00</dcterms:modified>
</cp:coreProperties>
</file>

<file path=docProps/custom.xml><?xml version="1.0" encoding="utf-8"?>
<Properties xmlns="http://schemas.openxmlformats.org/officeDocument/2006/custom-properties" xmlns:vt="http://schemas.openxmlformats.org/officeDocument/2006/docPropsVTypes"/>
</file>