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Il cyberbullismo nella percezione di genitori, figli e insegnant</w:t>
      </w:r>
    </w:p>
    <w:p>
      <w:pPr>
        <w:pStyle w:val="Title"/>
      </w:pPr>
      <w:r>
        <w:t>Engl. transl.: Parents, children, and teachers' perception of cyberbullying</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bullying</w:t>
      </w:r>
    </w:p>
    <w:p>
      <w:pPr>
        <w:numPr>
          <w:ilvl w:val="0"/>
          <w:numId w:val="5"/>
        </w:numPr>
      </w:pPr>
      <w:r>
        <w:rPr/>
        <w:t xml:space="preserve">digital media</w:t>
      </w:r>
    </w:p>
    <w:p>
      <w:pPr>
        <w:numPr>
          <w:ilvl w:val="0"/>
          <w:numId w:val="5"/>
        </w:numPr>
      </w:pPr>
      <w:r>
        <w:rPr/>
        <w:t xml:space="preserve">online risks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Italian</w:t>
      </w:r>
    </w:p>
    <w:p>
      <w:pPr>
        <w:pStyle w:val="Heading2"/>
      </w:pPr>
      <w:bookmarkStart w:id="6" w:name="_Toc8"/>
      <w:r>
        <w:t>Volume</w:t>
      </w:r>
      <w:bookmarkEnd w:id="6"/>
    </w:p>
    <w:p>
      <w:pPr/>
      <w:r>
        <w:rPr/>
        <w:t xml:space="preserve">27</w:t>
      </w:r>
    </w:p>
    <w:p>
      <w:pPr>
        <w:pStyle w:val="Heading2"/>
      </w:pPr>
      <w:bookmarkStart w:id="7" w:name="_Toc9"/>
      <w:r>
        <w:t>Issue</w:t>
      </w:r>
      <w:bookmarkEnd w:id="7"/>
    </w:p>
    <w:p>
      <w:pPr/>
      <w:r>
        <w:rPr/>
        <w:t xml:space="preserve">2019/1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Caravita S.;Della Valle V.;Ghiringhelli L.</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Consultori Familiari Oggi</w:t>
      </w:r>
    </w:p>
    <w:p>
      <w:pPr>
        <w:pStyle w:val="Heading2"/>
      </w:pPr>
      <w:bookmarkStart w:id="13" w:name="_Toc15"/>
      <w:r>
        <w:t>Topics</w:t>
      </w:r>
      <w:bookmarkEnd w:id="13"/>
    </w:p>
    <w:p>
      <w:pPr/>
      <w:r>
        <w:rPr/>
        <w:t xml:space="preserve">Risks and harms</w:t>
      </w:r>
    </w:p>
    <w:p>
      <w:pPr>
        <w:pStyle w:val="Heading2"/>
      </w:pPr>
      <w:bookmarkStart w:id="14" w:name="_Toc16"/>
      <w:r>
        <w:t>Sample</w:t>
      </w:r>
      <w:bookmarkEnd w:id="14"/>
    </w:p>
    <w:p>
      <w:pPr/>
      <w:r>
        <w:rPr/>
        <w:t xml:space="preserve">387 adolescents, 146 parents and 27 teachers.</w:t>
      </w:r>
    </w:p>
    <w:p>
      <w:pPr>
        <w:pStyle w:val="Heading1"/>
      </w:pPr>
      <w:bookmarkStart w:id="15" w:name="_Toc17"/>
      <w:r>
        <w:t>Abstract</w:t>
      </w:r>
      <w:bookmarkEnd w:id="15"/>
    </w:p>
    <w:p>
      <w:pPr/>
      <w:r>
        <w:rPr/>
        <w:t xml:space="preserve">Several anti-cyberbullying intervention programs include specific actions
aimed to increase youth’s awareness of Cyberbullying. The purpose of the current study was to investigate the associations of youth’s awareness of Cyberbullying with parents and teachers’ awareness of Cyberbullying, the quality of the
communication with parents, the perceived school climate, and adolescents’
moral disengagement. Participants were 387 adolescents (47.80% girls) who
answered measures assessing Cyberbullying and the perception of Cyberbullying. One hundred and fourty-six parents and 27 teachers answered a similar
questionnaire on Cyberbullying. Adolescents’ awareness on Cyberbullying was
not associated with adults’ awareness on Cyberbullying, but it was associated
with higher levels of openness in the communication with parents. These results indicate that specific actions against Cyberbullying need to be realized
within authentic relationships with adults.</w:t>
      </w:r>
    </w:p>
    <w:p>
      <w:pPr>
        <w:pStyle w:val="Heading1"/>
      </w:pPr>
      <w:bookmarkStart w:id="16" w:name="_Toc18"/>
      <w:r>
        <w:t>Outcome</w:t>
      </w:r>
      <w:bookmarkEnd w:id="16"/>
    </w:p>
    <w:p>
      <w:pPr/>
      <w:r>
        <w:rPr/>
        <w:t xml:space="preserve">"The results of the study show that knowing how to recognize cyberbullying actions as such is connected in adolescents to a lower enactment of online bullying and a lower recourse to processes of self-justification of cyberbullying, which allowing to overcome the sense of guilt, facilitate the enactment of bullying actions. Therefore, it makes sense to include actions in interventions that aim to increase adolescents' awareness of what cyberbullying is, so they can recognize it, and avoid enacting or supporting it." (Caravita et al., 2019, p.52,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0AE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2025-10-20T07:24:53+00:00</dcterms:created>
  <dcterms:modified xsi:type="dcterms:W3CDTF">2025-10-20T07:24:53+00:00</dcterms:modified>
</cp:coreProperties>
</file>

<file path=docProps/custom.xml><?xml version="1.0" encoding="utf-8"?>
<Properties xmlns="http://schemas.openxmlformats.org/officeDocument/2006/custom-properties" xmlns:vt="http://schemas.openxmlformats.org/officeDocument/2006/docPropsVTypes"/>
</file>