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Raport z badania Nastolatki 3.0</w:t>
      </w:r>
    </w:p>
    <w:p>
      <w:pPr>
        <w:pStyle w:val="Title"/>
      </w:pPr>
      <w:r>
        <w:t>Engl. transl.: Research report Teenagers 3.0</w:t>
      </w:r>
    </w:p>
    <w:p>
      <w:pPr>
        <w:pStyle w:val="Heading1"/>
      </w:pPr>
      <w:bookmarkStart w:id="1" w:name="_Toc3"/>
      <w:r>
        <w:t>Keywords</w:t>
      </w:r>
      <w:bookmarkEnd w:id="1"/>
    </w:p>
    <w:p>
      <w:pPr>
        <w:numPr>
          <w:ilvl w:val="0"/>
          <w:numId w:val="5"/>
        </w:numPr>
      </w:pPr>
      <w:r>
        <w:rPr/>
        <w:t xml:space="preserve">Internet</w:t>
      </w:r>
    </w:p>
    <w:p>
      <w:pPr>
        <w:numPr>
          <w:ilvl w:val="0"/>
          <w:numId w:val="5"/>
        </w:numPr>
      </w:pPr>
      <w:r>
        <w:rPr/>
        <w:t xml:space="preserve">education</w:t>
      </w:r>
    </w:p>
    <w:p>
      <w:pPr>
        <w:numPr>
          <w:ilvl w:val="0"/>
          <w:numId w:val="5"/>
        </w:numPr>
      </w:pPr>
      <w:r>
        <w:rPr/>
        <w:t xml:space="preserve">identity</w:t>
      </w:r>
    </w:p>
    <w:p>
      <w:pPr>
        <w:numPr>
          <w:ilvl w:val="0"/>
          <w:numId w:val="5"/>
        </w:numPr>
      </w:pPr>
      <w:r>
        <w:rPr/>
        <w:t xml:space="preserve">ICT</w:t>
      </w:r>
    </w:p>
    <w:p>
      <w:pPr>
        <w:numPr>
          <w:ilvl w:val="0"/>
          <w:numId w:val="5"/>
        </w:numPr>
      </w:pPr>
      <w:r>
        <w:rPr/>
        <w:t xml:space="preserve">digital competences</w:t>
      </w:r>
    </w:p>
    <w:p>
      <w:pPr>
        <w:numPr>
          <w:ilvl w:val="0"/>
          <w:numId w:val="5"/>
        </w:numPr>
      </w:pPr>
      <w:r>
        <w:rPr/>
        <w:t xml:space="preserve">teenagers on the Internet</w:t>
      </w:r>
    </w:p>
    <w:p>
      <w:pPr>
        <w:pStyle w:val="Heading1"/>
      </w:pPr>
      <w:bookmarkStart w:id="2" w:name="_Toc4"/>
      <w:r>
        <w:t>Details</w:t>
      </w:r>
      <w:bookmarkEnd w:id="2"/>
    </w:p>
    <w:p>
      <w:pPr>
        <w:pStyle w:val="Heading2"/>
      </w:pPr>
      <w:bookmarkStart w:id="3" w:name="_Toc5"/>
      <w:r>
        <w:t>Year</w:t>
      </w:r>
      <w:bookmarkEnd w:id="3"/>
    </w:p>
    <w:p>
      <w:pPr/>
      <w:r>
        <w:rPr/>
        <w:t xml:space="preserve">2017</w:t>
      </w:r>
    </w:p>
    <w:p>
      <w:pPr>
        <w:pStyle w:val="Heading2"/>
      </w:pPr>
      <w:bookmarkStart w:id="4" w:name="_Toc6"/>
      <w:r>
        <w:t>Issued</w:t>
      </w:r>
      <w:bookmarkEnd w:id="4"/>
    </w:p>
    <w:p>
      <w:pPr/>
      <w:r>
        <w:rPr/>
        <w:t xml:space="preserve">2017</w:t>
      </w:r>
    </w:p>
    <w:p>
      <w:pPr>
        <w:pStyle w:val="Heading2"/>
      </w:pPr>
      <w:bookmarkStart w:id="5" w:name="_Toc7"/>
      <w:r>
        <w:t>Language</w:t>
      </w:r>
      <w:bookmarkEnd w:id="5"/>
    </w:p>
    <w:p>
      <w:pPr/>
      <w:r>
        <w:rPr/>
        <w:t xml:space="preserve">Polish</w:t>
      </w:r>
    </w:p>
    <w:p>
      <w:pPr>
        <w:pStyle w:val="Heading2"/>
      </w:pPr>
      <w:bookmarkStart w:id="6" w:name="_Toc8"/>
      <w:r>
        <w:t>Authors</w:t>
      </w:r>
      <w:bookmarkEnd w:id="6"/>
    </w:p>
    <w:p>
      <w:pPr/>
      <w:r>
        <w:rPr/>
        <w:t xml:space="preserve">Kamieniecki W.;Bochenek M.;Tanaś M.;Wrońska A.;Lange R.;Fila M.;Loba B.;Konopczyński F.</w:t>
      </w:r>
    </w:p>
    <w:p>
      <w:pPr>
        <w:pStyle w:val="Heading2"/>
      </w:pPr>
      <w:bookmarkStart w:id="7" w:name="_Toc9"/>
      <w:r>
        <w:t>Type</w:t>
      </w:r>
      <w:bookmarkEnd w:id="7"/>
    </w:p>
    <w:p>
      <w:pPr/>
      <w:r>
        <w:rPr/>
        <w:t xml:space="preserve">Book</w:t>
      </w:r>
    </w:p>
    <w:p>
      <w:pPr>
        <w:pStyle w:val="Heading2"/>
      </w:pPr>
      <w:bookmarkStart w:id="8" w:name="_Toc10"/>
      <w:r>
        <w:t>Book title</w:t>
      </w:r>
      <w:bookmarkEnd w:id="8"/>
    </w:p>
    <w:p>
      <w:pPr/>
      <w:r>
        <w:rPr/>
        <w:t xml:space="preserve">Raport z badania Nastolatki 3.0</w:t>
      </w:r>
    </w:p>
    <w:p>
      <w:pPr>
        <w:pStyle w:val="Heading2"/>
      </w:pPr>
      <w:bookmarkStart w:id="9" w:name="_Toc11"/>
      <w:r>
        <w:t>Publisher</w:t>
      </w:r>
      <w:bookmarkEnd w:id="9"/>
    </w:p>
    <w:p>
      <w:pPr/>
      <w:r>
        <w:rPr/>
        <w:t xml:space="preserve">NASK - Instytut Badawczy</w:t>
      </w:r>
    </w:p>
    <w:p>
      <w:pPr>
        <w:pStyle w:val="Heading2"/>
      </w:pPr>
      <w:bookmarkStart w:id="10" w:name="_Toc12"/>
      <w:r>
        <w:t>Place</w:t>
      </w:r>
      <w:bookmarkEnd w:id="10"/>
    </w:p>
    <w:p>
      <w:pPr/>
      <w:r>
        <w:rPr/>
        <w:t xml:space="preserve">Warszawa</w:t>
      </w:r>
    </w:p>
    <w:p>
      <w:pPr>
        <w:pStyle w:val="Heading2"/>
      </w:pPr>
      <w:bookmarkStart w:id="11" w:name="_Toc13"/>
      <w:r>
        <w:t>Topics</w:t>
      </w:r>
      <w:bookmarkEnd w:id="11"/>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Wellbeing</w:t>
      </w:r>
    </w:p>
    <w:p>
      <w:pPr>
        <w:numPr>
          <w:ilvl w:val="0"/>
          <w:numId w:val="5"/>
        </w:numPr>
      </w:pPr>
      <w:r>
        <w:rPr/>
        <w:t xml:space="preserve">Risks and harms</w:t>
      </w:r>
    </w:p>
    <w:p>
      <w:pPr>
        <w:numPr>
          <w:ilvl w:val="0"/>
          <w:numId w:val="5"/>
        </w:numPr>
      </w:pPr>
      <w:r>
        <w:rPr/>
        <w:t xml:space="preserve">Online safety and policy regulation</w:t>
      </w:r>
    </w:p>
    <w:p>
      <w:pPr>
        <w:numPr>
          <w:ilvl w:val="0"/>
          <w:numId w:val="5"/>
        </w:numPr>
      </w:pPr>
      <w:r>
        <w:rPr/>
        <w:t xml:space="preserve">Access, inequalities and vulnerabilities</w:t>
      </w:r>
    </w:p>
    <w:p>
      <w:pPr>
        <w:numPr>
          <w:ilvl w:val="0"/>
          <w:numId w:val="5"/>
        </w:numPr>
      </w:pPr>
      <w:r>
        <w:rPr/>
        <w:t xml:space="preserve">Digital and socio-cultural environment</w:t>
      </w:r>
    </w:p>
    <w:p>
      <w:pPr>
        <w:numPr>
          <w:ilvl w:val="0"/>
          <w:numId w:val="5"/>
        </w:numPr>
      </w:pPr>
      <w:r>
        <w:rPr/>
        <w:t xml:space="preserve">Researching children online: methodology and ethics</w:t>
      </w:r>
    </w:p>
    <w:p>
      <w:pPr>
        <w:pStyle w:val="Heading2"/>
      </w:pPr>
      <w:bookmarkStart w:id="12" w:name="_Toc14"/>
      <w:r>
        <w:t>Sample</w:t>
      </w:r>
      <w:bookmarkEnd w:id="12"/>
    </w:p>
    <w:p>
      <w:pPr/>
      <w:r>
        <w:rPr/>
        <w:t xml:space="preserve">The study took part of 1,394 students from 55 schools (from the second grades of junior high school
and upper secondary schools).</w:t>
      </w:r>
    </w:p>
    <w:p>
      <w:pPr>
        <w:pStyle w:val="Heading2"/>
      </w:pPr>
      <w:bookmarkStart w:id="13" w:name="_Toc15"/>
      <w:r>
        <w:t>Implications For Parents About</w:t>
      </w:r>
      <w:bookmarkEnd w:id="13"/>
    </w:p>
    <w:p>
      <w:pPr>
        <w:numPr>
          <w:ilvl w:val="0"/>
          <w:numId w:val="5"/>
        </w:numPr>
      </w:pPr>
      <w:r>
        <w:rPr/>
        <w:t xml:space="preserve">Parental practices / parental mediation</w:t>
      </w:r>
    </w:p>
    <w:p>
      <w:pPr>
        <w:numPr>
          <w:ilvl w:val="0"/>
          <w:numId w:val="5"/>
        </w:numPr>
      </w:pPr>
      <w:r>
        <w:rPr/>
        <w:t xml:space="preserve">Parental digital literacy </w:t>
      </w:r>
    </w:p>
    <w:p>
      <w:pPr>
        <w:numPr>
          <w:ilvl w:val="0"/>
          <w:numId w:val="5"/>
        </w:numPr>
      </w:pPr>
      <w:r>
        <w:rPr/>
        <w:t xml:space="preserve">Parenting guidance / support </w:t>
      </w:r>
    </w:p>
    <w:p>
      <w:pPr>
        <w:pStyle w:val="Heading2"/>
      </w:pPr>
      <w:bookmarkStart w:id="14" w:name="_Toc16"/>
      <w:r>
        <w:t>Implications For Educators About</w:t>
      </w:r>
      <w:bookmarkEnd w:id="14"/>
    </w:p>
    <w:p>
      <w:pPr>
        <w:numPr>
          <w:ilvl w:val="0"/>
          <w:numId w:val="5"/>
        </w:numPr>
      </w:pPr>
      <w:r>
        <w:rPr/>
        <w:t xml:space="preserve">Digital citizenship</w:t>
      </w:r>
    </w:p>
    <w:p>
      <w:pPr>
        <w:numPr>
          <w:ilvl w:val="0"/>
          <w:numId w:val="5"/>
        </w:numPr>
      </w:pPr>
      <w:r>
        <w:rPr/>
        <w:t xml:space="preserve">School innovation</w:t>
      </w:r>
    </w:p>
    <w:p>
      <w:pPr>
        <w:numPr>
          <w:ilvl w:val="0"/>
          <w:numId w:val="5"/>
        </w:numPr>
      </w:pPr>
      <w:r>
        <w:rPr/>
        <w:t xml:space="preserve">Professional development</w:t>
      </w:r>
    </w:p>
    <w:p>
      <w:pPr>
        <w:pStyle w:val="Heading2"/>
      </w:pPr>
      <w:bookmarkStart w:id="15" w:name="_Toc17"/>
      <w:r>
        <w:t>Implications For Policy Makers About</w:t>
      </w:r>
      <w:bookmarkEnd w:id="15"/>
    </w:p>
    <w:p>
      <w:pPr>
        <w:numPr>
          <w:ilvl w:val="0"/>
          <w:numId w:val="5"/>
        </w:numPr>
      </w:pPr>
      <w:r>
        <w:rPr/>
        <w:t xml:space="preserve">High-quality content online for children and young people</w:t>
      </w:r>
    </w:p>
    <w:p>
      <w:pPr>
        <w:numPr>
          <w:ilvl w:val="0"/>
          <w:numId w:val="5"/>
        </w:numPr>
      </w:pPr>
      <w:r>
        <w:rPr/>
        <w:t xml:space="preserve">Stepping up awareness and empowerment</w:t>
      </w:r>
    </w:p>
    <w:p>
      <w:pPr>
        <w:numPr>
          <w:ilvl w:val="0"/>
          <w:numId w:val="5"/>
        </w:numPr>
      </w:pPr>
      <w:r>
        <w:rPr/>
        <w:t xml:space="preserve">Creating a safe environment for children online</w:t>
      </w:r>
    </w:p>
    <w:p>
      <w:pPr>
        <w:numPr>
          <w:ilvl w:val="0"/>
          <w:numId w:val="5"/>
        </w:numPr>
      </w:pPr>
      <w:r>
        <w:rPr/>
        <w:t xml:space="preserve">Fighting against child sexual abuse and child exploitation</w:t>
      </w:r>
    </w:p>
    <w:p>
      <w:pPr>
        <w:pStyle w:val="Heading2"/>
      </w:pPr>
      <w:bookmarkStart w:id="16" w:name="_Toc18"/>
      <w:r>
        <w:t>Implications For Stakeholders About</w:t>
      </w:r>
      <w:bookmarkEnd w:id="16"/>
    </w:p>
    <w:p>
      <w:pPr>
        <w:numPr>
          <w:ilvl w:val="0"/>
          <w:numId w:val="5"/>
        </w:numPr>
      </w:pPr>
      <w:r>
        <w:rPr/>
        <w:t xml:space="preserve">Researchers</w:t>
      </w:r>
    </w:p>
    <w:p>
      <w:pPr>
        <w:numPr>
          <w:ilvl w:val="0"/>
          <w:numId w:val="5"/>
        </w:numPr>
      </w:pPr>
      <w:r>
        <w:rPr/>
        <w:t xml:space="preserve">Industry</w:t>
      </w:r>
    </w:p>
    <w:p>
      <w:pPr>
        <w:numPr>
          <w:ilvl w:val="0"/>
          <w:numId w:val="5"/>
        </w:numPr>
      </w:pPr>
      <w:r>
        <w:rPr/>
        <w:t xml:space="preserve">Healthcare</w:t>
      </w:r>
    </w:p>
    <w:p>
      <w:pPr>
        <w:pStyle w:val="Heading1"/>
      </w:pPr>
      <w:bookmarkStart w:id="17" w:name="_Toc19"/>
      <w:r>
        <w:t>Abstract</w:t>
      </w:r>
      <w:bookmarkEnd w:id="17"/>
    </w:p>
    <w:p>
      <w:pPr/>
      <w:r>
        <w:rPr/>
        <w:t xml:space="preserve">The main purpose of the NASK study "Teenagers 3.0" was to analyze the activity of young people on the Internet and its educational role. Important were: the scope and purposes of use, the use of the Internet at school, as well as the issues of Internet identity and awareness of the risks associated with the use of the Web. "The obtained conclusions and recommendations from the research constitute an empirical basis for the design and modeling of effective NASK activities in the field of Internet security and the use of information and communication technologies in education". (translated by the coder)</w:t>
      </w:r>
    </w:p>
    <w:p>
      <w:pPr>
        <w:pStyle w:val="Heading1"/>
      </w:pPr>
      <w:bookmarkStart w:id="18" w:name="_Toc20"/>
      <w:r>
        <w:t>Outcome</w:t>
      </w:r>
      <w:bookmarkEnd w:id="18"/>
    </w:p>
    <w:p>
      <w:pPr/>
      <w:r>
        <w:rPr/>
        <w:t xml:space="preserve">For teenagers, the Internet is a zone of learning and entertainment, 41.8% of respondents use the Internet every day to expand their knowledge within their interests. 57.8% believe that browsing the Internet is a better source of entertainment than watching TV, 16.2% that learning from books is unnecessary in the times of the Internet.
Representatives of the younger generation tend to passively consume online content rather than actively create it (5.2% of respondents use the Web every day to create and process audiovisual content, 5% to create music, 4.7% to run their own blog or website. ).
The research results also indicate that young people in the virtual world have been "abandoned" by their parents, guardians and teachers, and although the preparation for ICT takes place in the household space, it is usually without adult supervision. 68.6% of respondents declare that education in the field of digital competences is, in their case, self-education. (translated by the coder from the website:https://nck.pl/badania/raporty/raport--nastolatki-wobec-internetu-3-0-, which include the description of the publication).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15F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2025-11-02T05:09:56+00:00</dcterms:created>
  <dcterms:modified xsi:type="dcterms:W3CDTF">2025-11-02T05:09:56+00:00</dcterms:modified>
</cp:coreProperties>
</file>

<file path=docProps/custom.xml><?xml version="1.0" encoding="utf-8"?>
<Properties xmlns="http://schemas.openxmlformats.org/officeDocument/2006/custom-properties" xmlns:vt="http://schemas.openxmlformats.org/officeDocument/2006/docPropsVTypes"/>
</file>