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Polskie badanie EU Kids Online 2018. Najważniejsze wyniki i wnioski</w:t>
      </w:r>
    </w:p>
    <w:p>
      <w:pPr>
        <w:pStyle w:val="Title"/>
      </w:pPr>
      <w:r>
        <w:t>Engl. transl.: Polish EU Kids Online 2018 survey. The most important results and conclusions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Issued</w:t>
      </w:r>
      <w:bookmarkEnd w:id="3"/>
    </w:p>
    <w:p>
      <w:pPr/>
      <w:r>
        <w:rPr/>
        <w:t xml:space="preserve">2019</w:t>
      </w:r>
    </w:p>
    <w:p>
      <w:pPr>
        <w:pStyle w:val="Heading2"/>
      </w:pPr>
      <w:bookmarkStart w:id="4" w:name="_Toc6"/>
      <w:r>
        <w:t>Language</w:t>
      </w:r>
      <w:bookmarkEnd w:id="4"/>
    </w:p>
    <w:p>
      <w:pPr/>
      <w:r>
        <w:rPr/>
        <w:t xml:space="preserve">Polish</w:t>
      </w:r>
    </w:p>
    <w:p>
      <w:pPr>
        <w:pStyle w:val="Heading2"/>
      </w:pPr>
      <w:bookmarkStart w:id="5" w:name="_Toc7"/>
      <w:r>
        <w:t>Authors</w:t>
      </w:r>
      <w:bookmarkEnd w:id="5"/>
    </w:p>
    <w:p>
      <w:pPr/>
      <w:r>
        <w:rPr/>
        <w:t xml:space="preserve">Pyżalski J.;Zdrodowska A.;Tomczyk Ł.;Abramczuk K.</w:t>
      </w:r>
    </w:p>
    <w:p>
      <w:pPr>
        <w:pStyle w:val="Heading2"/>
      </w:pPr>
      <w:bookmarkStart w:id="6" w:name="_Toc8"/>
      <w:r>
        <w:t>Type</w:t>
      </w:r>
      <w:bookmarkEnd w:id="6"/>
    </w:p>
    <w:p>
      <w:pPr/>
      <w:r>
        <w:rPr/>
        <w:t xml:space="preserve">Book</w:t>
      </w:r>
    </w:p>
    <w:p>
      <w:pPr>
        <w:pStyle w:val="Heading2"/>
      </w:pPr>
      <w:bookmarkStart w:id="7" w:name="_Toc9"/>
      <w:r>
        <w:t>Book title</w:t>
      </w:r>
      <w:bookmarkEnd w:id="7"/>
    </w:p>
    <w:p>
      <w:pPr/>
      <w:r>
        <w:rPr/>
        <w:t xml:space="preserve">Polskie badanie EU Kids Online 2018. Najważniejsze wyniki i wnioski</w:t>
      </w:r>
    </w:p>
    <w:p>
      <w:pPr>
        <w:pStyle w:val="Heading2"/>
      </w:pPr>
      <w:bookmarkStart w:id="8" w:name="_Toc10"/>
      <w:r>
        <w:t>Publisher</w:t>
      </w:r>
      <w:bookmarkEnd w:id="8"/>
    </w:p>
    <w:p>
      <w:pPr/>
      <w:r>
        <w:rPr/>
        <w:t xml:space="preserve">Wydawnictwo Naukowe UAM.</w:t>
      </w:r>
    </w:p>
    <w:p>
      <w:pPr>
        <w:pStyle w:val="Heading2"/>
      </w:pPr>
      <w:bookmarkStart w:id="9" w:name="_Toc11"/>
      <w:r>
        <w:t>Place</w:t>
      </w:r>
      <w:bookmarkEnd w:id="9"/>
    </w:p>
    <w:p>
      <w:pPr/>
      <w:r>
        <w:rPr/>
        <w:t xml:space="preserve">Poznani</w:t>
      </w:r>
    </w:p>
    <w:p>
      <w:pPr>
        <w:pStyle w:val="Heading2"/>
      </w:pPr>
      <w:bookmarkStart w:id="10" w:name="_Toc12"/>
      <w:r>
        <w:t>Topics</w:t>
      </w:r>
      <w:bookmarkEnd w:id="10"/>
    </w:p>
    <w:p>
      <w:pPr/>
      <w:r>
        <w:rPr/>
        <w:t xml:space="preserve">Literacy and skills</w:t>
      </w:r>
    </w:p>
    <w:p>
      <w:pPr>
        <w:pStyle w:val="Heading2"/>
      </w:pPr>
      <w:bookmarkStart w:id="11" w:name="_Toc13"/>
      <w:r>
        <w:t>Sample</w:t>
      </w:r>
      <w:bookmarkEnd w:id="11"/>
    </w:p>
    <w:p>
      <w:pPr/>
      <w:r>
        <w:rPr/>
        <w:t xml:space="preserve">The research was carried out in Poland from May to June 2018 in 90 schools. The applied selection scheme was constructed in such a way as to obtain a representative sample
students of primary, lower and upper secondary schools, corresponding to the structure of the population of students aged 9-17 in Poland; to analyzes at the national level, a sample of N = 1249 students aged 9 and over was used up to 17 years (M = 12.8; SD = 2.5), of whom 47.3% were boys.</w:t>
      </w:r>
    </w:p>
    <w:p>
      <w:pPr>
        <w:pStyle w:val="Heading2"/>
      </w:pPr>
      <w:bookmarkStart w:id="12" w:name="_Toc14"/>
      <w:r>
        <w:t>Implications For Parents About</w:t>
      </w:r>
      <w:bookmarkEnd w:id="12"/>
    </w:p>
    <w:p>
      <w:pPr>
        <w:numPr>
          <w:ilvl w:val="0"/>
          <w:numId w:val="5"/>
        </w:numPr>
      </w:pPr>
      <w:r>
        <w:rPr/>
        <w:t xml:space="preserve">Parental practices / parental mediation</w:t>
      </w:r>
    </w:p>
    <w:p>
      <w:pPr>
        <w:numPr>
          <w:ilvl w:val="0"/>
          <w:numId w:val="5"/>
        </w:numPr>
      </w:pPr>
      <w:r>
        <w:rPr/>
        <w:t xml:space="preserve">Parental digital literacy </w:t>
      </w:r>
    </w:p>
    <w:p>
      <w:pPr>
        <w:numPr>
          <w:ilvl w:val="0"/>
          <w:numId w:val="5"/>
        </w:numPr>
      </w:pPr>
      <w:r>
        <w:rPr/>
        <w:t xml:space="preserve">Parenting guidance / support </w:t>
      </w:r>
    </w:p>
    <w:p>
      <w:pPr>
        <w:pStyle w:val="Heading2"/>
      </w:pPr>
      <w:bookmarkStart w:id="13" w:name="_Toc15"/>
      <w:r>
        <w:t>Implications For Educators About</w:t>
      </w:r>
      <w:bookmarkEnd w:id="13"/>
    </w:p>
    <w:p>
      <w:pPr>
        <w:numPr>
          <w:ilvl w:val="0"/>
          <w:numId w:val="5"/>
        </w:numPr>
      </w:pPr>
      <w:r>
        <w:rPr/>
        <w:t xml:space="preserve">Digital citizenship</w:t>
      </w:r>
    </w:p>
    <w:p>
      <w:pPr>
        <w:numPr>
          <w:ilvl w:val="0"/>
          <w:numId w:val="5"/>
        </w:numPr>
      </w:pPr>
      <w:r>
        <w:rPr/>
        <w:t xml:space="preserve">STEM Education</w:t>
      </w:r>
    </w:p>
    <w:p>
      <w:pPr>
        <w:numPr>
          <w:ilvl w:val="0"/>
          <w:numId w:val="5"/>
        </w:numPr>
      </w:pPr>
      <w:r>
        <w:rPr/>
        <w:t xml:space="preserve">School innovation</w:t>
      </w:r>
    </w:p>
    <w:p>
      <w:pPr>
        <w:numPr>
          <w:ilvl w:val="0"/>
          <w:numId w:val="5"/>
        </w:numPr>
      </w:pPr>
      <w:r>
        <w:rPr/>
        <w:t xml:space="preserve">Professional development</w:t>
      </w:r>
    </w:p>
    <w:p>
      <w:pPr>
        <w:numPr>
          <w:ilvl w:val="0"/>
          <w:numId w:val="5"/>
        </w:numPr>
      </w:pPr>
      <w:r>
        <w:rPr/>
        <w:t xml:space="preserve">School networking</w:t>
      </w:r>
    </w:p>
    <w:p>
      <w:pPr>
        <w:pStyle w:val="Heading2"/>
      </w:pPr>
      <w:bookmarkStart w:id="14" w:name="_Toc16"/>
      <w:r>
        <w:t>Implications For Policy Makers About</w:t>
      </w:r>
      <w:bookmarkEnd w:id="14"/>
    </w:p>
    <w:p>
      <w:pPr>
        <w:numPr>
          <w:ilvl w:val="0"/>
          <w:numId w:val="5"/>
        </w:numPr>
      </w:pPr>
      <w:r>
        <w:rPr/>
        <w:t xml:space="preserve">High-quality content online for children and young people</w:t>
      </w:r>
    </w:p>
    <w:p>
      <w:pPr>
        <w:numPr>
          <w:ilvl w:val="0"/>
          <w:numId w:val="5"/>
        </w:numPr>
      </w:pPr>
      <w:r>
        <w:rPr/>
        <w:t xml:space="preserve">Stepping up awareness and empowerment</w:t>
      </w:r>
    </w:p>
    <w:p>
      <w:pPr>
        <w:numPr>
          <w:ilvl w:val="0"/>
          <w:numId w:val="5"/>
        </w:numPr>
      </w:pPr>
      <w:r>
        <w:rPr/>
        <w:t xml:space="preserve">Creating a safe environment for children online</w:t>
      </w:r>
    </w:p>
    <w:p>
      <w:pPr>
        <w:pStyle w:val="Heading2"/>
      </w:pPr>
      <w:bookmarkStart w:id="15" w:name="_Toc17"/>
      <w:r>
        <w:t>Implications For Stakeholders About</w:t>
      </w:r>
      <w:bookmarkEnd w:id="15"/>
    </w:p>
    <w:p>
      <w:pPr>
        <w:pStyle w:val="Heading1"/>
      </w:pPr>
      <w:bookmarkStart w:id="16" w:name="_Toc18"/>
      <w:r>
        <w:t>Abstract</w:t>
      </w:r>
      <w:bookmarkEnd w:id="16"/>
    </w:p>
    <w:p>
      <w:pPr/>
      <w:r>
        <w:rPr/>
        <w:t xml:space="preserve">Obecna edycja badania EU Kids Online została zrealizowana w Polsce w terminie od maja do czerwca 2018 roku w 90 szkołach. Zastosowany schemat doboru został skonstruowany w taki sposób, aby otrzymać reprezentatywną próbę uczniów szkół podstawowych, gimnazjalnych i ponadgimnazjalnych, odpowiadającą strukturze populacji uczniów w wieku 9-17 lat w Polsce. W Polsce badania zrealizował zespół kierowany przez prof. UAM dra hab. Jacka Pyżalskiego z Wydziału Studiów Edukacyjnych Uniwersytetu im. Adama Mickiewicza w Poznaniu. W skład zespołu wchodzą mgr Aldona Zdrodowska i dr Katarzyna Abramczuk z Ośrodka Przetwarzania Informacji – Państwowego Instytutu Badawczego oraz dr inż. Łukasz Tomczyk z Uniwersytetu Pedagogicznego im. Komisji Edukacji Narodowej w Krakowie.</w:t>
      </w:r>
    </w:p>
    <w:p>
      <w:pPr>
        <w:pStyle w:val="Heading1"/>
      </w:pPr>
      <w:bookmarkStart w:id="17" w:name="_Toc19"/>
      <w:r>
        <w:t>Outcome</w:t>
      </w:r>
      <w:bookmarkEnd w:id="17"/>
    </w:p>
    <w:p>
      <w:pPr/>
      <w:r>
        <w:rPr/>
        <w:t xml:space="preserve">The image of young people in the context of using the Internet is not unambiguous - a positive, but also dysfunctional role is clearly visible in it. Young people do not appear universally as constructive and creative users of the Internet. There is no such thing as a "typical" teenager using the Internet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B664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2025-10-15T20:29:57+00:00</dcterms:created>
  <dcterms:modified xsi:type="dcterms:W3CDTF">2025-10-15T20:29:57+00:00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