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KüberPähkel uuringu aruanne</w:t>
      </w:r>
    </w:p>
    <w:p>
      <w:pPr>
        <w:pStyle w:val="Title"/>
      </w:pPr>
      <w:r>
        <w:t>Engl. transl.: Report "KüberPähkel"</w:t>
      </w:r>
    </w:p>
    <w:p>
      <w:pPr>
        <w:pStyle w:val="Heading1"/>
      </w:pPr>
      <w:bookmarkStart w:id="1" w:name="_Toc3"/>
      <w:r>
        <w:t>Keywords</w:t>
      </w:r>
      <w:bookmarkEnd w:id="1"/>
    </w:p>
    <w:p>
      <w:pPr>
        <w:numPr>
          <w:ilvl w:val="0"/>
          <w:numId w:val="5"/>
        </w:numPr>
      </w:pPr>
      <w:r>
        <w:rPr/>
        <w:t xml:space="preserve">privacy</w:t>
      </w:r>
    </w:p>
    <w:p>
      <w:pPr>
        <w:numPr>
          <w:ilvl w:val="0"/>
          <w:numId w:val="5"/>
        </w:numPr>
      </w:pPr>
      <w:r>
        <w:rPr/>
        <w:t xml:space="preserve">internet safety</w:t>
      </w:r>
    </w:p>
    <w:p>
      <w:pPr>
        <w:numPr>
          <w:ilvl w:val="0"/>
          <w:numId w:val="5"/>
        </w:numPr>
      </w:pPr>
      <w:r>
        <w:rPr/>
        <w:t xml:space="preserve">students</w:t>
      </w:r>
    </w:p>
    <w:p>
      <w:pPr>
        <w:numPr>
          <w:ilvl w:val="0"/>
          <w:numId w:val="5"/>
        </w:numPr>
      </w:pPr>
      <w:r>
        <w:rPr/>
        <w:t xml:space="preserve">digital competences</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Issued</w:t>
      </w:r>
      <w:bookmarkEnd w:id="4"/>
    </w:p>
    <w:p>
      <w:pPr/>
      <w:r>
        <w:rPr/>
        <w:t xml:space="preserve">2021</w:t>
      </w:r>
    </w:p>
    <w:p>
      <w:pPr>
        <w:pStyle w:val="Heading2"/>
      </w:pPr>
      <w:bookmarkStart w:id="5" w:name="_Toc7"/>
      <w:r>
        <w:t>Language</w:t>
      </w:r>
      <w:bookmarkEnd w:id="5"/>
    </w:p>
    <w:p>
      <w:pPr/>
      <w:r>
        <w:rPr/>
        <w:t xml:space="preserve">Estonian</w:t>
      </w:r>
    </w:p>
    <w:p>
      <w:pPr>
        <w:pStyle w:val="Heading2"/>
      </w:pPr>
      <w:bookmarkStart w:id="6" w:name="_Toc8"/>
      <w:r>
        <w:t>Authors</w:t>
      </w:r>
      <w:bookmarkEnd w:id="6"/>
    </w:p>
    <w:p>
      <w:pPr/>
      <w:r>
        <w:rPr/>
        <w:t xml:space="preserve">Lorenz B.;Talisainen A.;Sõmer T.;Eomäe T.;Kirna C.;Poudel D.;Saks H.;Mikli A.;Kits R.</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pStyle w:val="Heading2"/>
      </w:pPr>
      <w:bookmarkStart w:id="9" w:name="_Toc11"/>
      <w:r>
        <w:t>Sample</w:t>
      </w:r>
      <w:bookmarkEnd w:id="9"/>
    </w:p>
    <w:p>
      <w:pPr/>
      <w:r>
        <w:rPr/>
        <w:t xml:space="preserve">The sample consisted of 13136 children from 230 schools (grades 4–9).</w:t>
      </w:r>
    </w:p>
    <w:p>
      <w:pPr>
        <w:pStyle w:val="Heading2"/>
      </w:pPr>
      <w:bookmarkStart w:id="10" w:name="_Toc12"/>
      <w:r>
        <w:t>Implications For Educators About</w:t>
      </w:r>
      <w:bookmarkEnd w:id="10"/>
    </w:p>
    <w:p>
      <w:pPr>
        <w:pStyle w:val="Heading2"/>
      </w:pPr>
      <w:bookmarkStart w:id="11" w:name="_Toc13"/>
      <w:r>
        <w:t>Implications For Policy Makers About</w:t>
      </w:r>
      <w:bookmarkEnd w:id="11"/>
    </w:p>
    <w:p>
      <w:pPr>
        <w:pStyle w:val="Heading2"/>
      </w:pPr>
      <w:bookmarkStart w:id="12" w:name="_Toc14"/>
      <w:r>
        <w:t>Other PolicyMaker Implication</w:t>
      </w:r>
      <w:bookmarkEnd w:id="12"/>
    </w:p>
    <w:p>
      <w:pPr/>
      <w:r>
        <w:rPr/>
        <w:t xml:space="preserve">Creating curricula with regard to ICT</w:t>
      </w:r>
    </w:p>
    <w:p>
      <w:pPr>
        <w:pStyle w:val="Heading2"/>
      </w:pPr>
      <w:bookmarkStart w:id="13" w:name="_Toc15"/>
      <w:r>
        <w:t>Implications For Stakeholders About</w:t>
      </w:r>
      <w:bookmarkEnd w:id="13"/>
    </w:p>
    <w:p>
      <w:pPr/>
      <w:r>
        <w:rPr/>
        <w:t xml:space="preserve">Researchers</w:t>
      </w:r>
    </w:p>
    <w:p>
      <w:pPr>
        <w:pStyle w:val="Heading1"/>
      </w:pPr>
      <w:bookmarkStart w:id="14" w:name="_Toc16"/>
      <w:r>
        <w:t>Abstract</w:t>
      </w:r>
      <w:bookmarkEnd w:id="14"/>
    </w:p>
    <w:p>
      <w:pPr/>
      <w:r>
        <w:rPr/>
        <w:t xml:space="preserve">KüberPähkel is a collective name for research and testing among students of basic schools, gymnasiums and vocational schools initiated by the Ministry of Defense and carried out by the Center for Cybercrime and Security of Tallinn University of Technology. The study focuses on different knowledge about digital security and cyber security.</w:t>
      </w:r>
    </w:p>
    <w:p>
      <w:pPr>
        <w:pStyle w:val="Heading1"/>
      </w:pPr>
      <w:bookmarkStart w:id="15" w:name="_Toc17"/>
      <w:r>
        <w:t>Outcome</w:t>
      </w:r>
      <w:bookmarkEnd w:id="15"/>
    </w:p>
    <w:p>
      <w:pPr/>
      <w:r>
        <w:rPr/>
        <w:t xml:space="preserve">"Basic competences and knowledge in the field of IT are obtained by Estonian-speaking students in computer classes and by Russian-speaking students in computer classes and from other activities." (Lorenz et al., 2021, p. 5)
"Girls' interest in IT is supported only through computer classes and other activities which aim to popularise the field; however, these activities are more accessible to younger students (grades 4 and 5)." (Lorenz et al., 2021, p. 9)
"There is a digital divide among Estonian girls and boys: Girls' confidence in managing technical tasks is lower than boys' in all grades." (Lorenz et al., 2021, p. 12)
"The majority of students are not aware of how their data is used during distance learning." (Lorenz et al., 2021, p. 17)
"Boys are more positive-minded towards technological advancements than girls." (Lorenz et al., 2021, p. 21)
(All excerpts are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87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2025-10-27T20:53:46+00:00</dcterms:created>
  <dcterms:modified xsi:type="dcterms:W3CDTF">2025-10-27T20:53:46+00:00</dcterms:modified>
</cp:coreProperties>
</file>

<file path=docProps/custom.xml><?xml version="1.0" encoding="utf-8"?>
<Properties xmlns="http://schemas.openxmlformats.org/officeDocument/2006/custom-properties" xmlns:vt="http://schemas.openxmlformats.org/officeDocument/2006/docPropsVTypes"/>
</file>