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Ispitivanje aktualnih trendova u korištenju društvenim mrežama kod učenika prvog i trećeg razreda srednjih škola u Hrvatskoj</w:t></w:r></w:p><w:p><w:pPr><w:pStyle w:val="Title"/></w:pPr><w:r><w:t>Engl. transl.: Analysis of current trends in use of social networks among first and third grade students of secondary schools in Croatia</w:t></w:r></w:p><w:p><w:pPr><w:pStyle w:val="Heading1"/></w:pPr><w:bookmarkStart w:id="1" w:name="_Toc3"/><w:r><w:t>Keywords</w:t></w:r><w:bookmarkEnd w:id="1"/></w:p><w:p><w:pPr><w:numPr><w:ilvl w:val="0"/><w:numId w:val="5"/></w:numPr></w:pPr><w:r><w:rPr/><w:t xml:space="preserve">Social networks</w:t></w:r></w:p><w:p><w:pPr><w:numPr><w:ilvl w:val="0"/><w:numId w:val="5"/></w:numPr></w:pPr><w:r><w:rPr/><w:t xml:space="preserve">Internet</w:t></w:r></w:p><w:p><w:pPr><w:numPr><w:ilvl w:val="0"/><w:numId w:val="5"/></w:numPr></w:pPr><w:r><w:rPr/><w:t xml:space="preserve">Adolescents</w:t></w:r></w:p><w:p><w:pPr><w:numPr><w:ilvl w:val="0"/><w:numId w:val="5"/></w:numPr></w:pPr><w:r><w:rPr/><w:t xml:space="preserve">Habits</w:t></w:r></w:p><w:p><w:pPr><w:numPr><w:ilvl w:val="0"/><w:numId w:val="5"/></w:numPr></w:pPr><w:r><w:rPr/><w:t xml:space="preserve">Electronic devices</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10.31299/ksi.28.2.6</w:t></w:r></w:p><w:p><w:pPr><w:pStyle w:val="Heading2"/></w:pPr><w:bookmarkStart w:id="5" w:name="_Toc7"/><w:r><w:t>Issued</w:t></w:r><w:bookmarkEnd w:id="5"/></w:p><w:p><w:pPr/><w:r><w:rPr/><w:t xml:space="preserve">2020</w:t></w:r></w:p><w:p><w:pPr><w:pStyle w:val="Heading2"/></w:pPr><w:bookmarkStart w:id="6" w:name="_Toc8"/><w:r><w:t>Language</w:t></w:r><w:bookmarkEnd w:id="6"/></w:p><w:p><w:pPr/><w:r><w:rPr/><w:t xml:space="preserve">Croatian</w:t></w:r></w:p><w:p><w:pPr><w:pStyle w:val="Heading2"/></w:pPr><w:bookmarkStart w:id="7" w:name="_Toc9"/><w:r><w:t>Volume</w:t></w:r><w:bookmarkEnd w:id="7"/></w:p><w:p><w:pPr/><w:r><w:rPr/><w:t xml:space="preserve">28</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Buljan Flander G.;Selak Bagarić E.;Prijatelj K.;Čagalj Farkas M.</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Kriminologija & socijalna integracija</w:t></w:r></w:p><w:p><w:pPr><w:pStyle w:val="Heading2"/></w:pPr><w:bookmarkStart w:id="14" w:name="_Toc16"/><w:r><w:t>Topics</w:t></w:r><w:bookmarkEnd w:id="14"/></w:p><w:p><w:pPr><w:pStyle w:val="Heading2"/></w:pPr><w:bookmarkStart w:id="15" w:name="_Toc17"/><w:r><w:t>Sample</w:t></w:r><w:bookmarkEnd w:id="15"/></w:p><w:p><w:pPr/><w:r><w:rPr/><w:t xml:space="preserve">The research was conducted in five Croatian cities: Zagreb, Split, Rijeka, Osijek and Dubrovnik. The online questionnaire was completed by a 1794 adolescents of first and third grades of high schools, 703 participants (39.2%) state that they are male, 1075 (59.9%) state that they are female, while 16 participants (1%) stated other answers regarding their sex.</w:t></w:r></w:p><w:p><w:pPr><w:pStyle w:val="Heading2"/></w:pPr><w:bookmarkStart w:id="16" w:name="_Toc18"/><w:r><w:t>Implications For Parents About</w:t></w:r><w:bookmarkEnd w:id="16"/></w:p><w:p><w:pPr/><w:r><w:rPr/><w:t xml:space="preserve">Parenting guidance / support </w:t></w:r></w:p><w:p><w:pPr><w:pStyle w:val="Heading1"/></w:pPr><w:bookmarkStart w:id="17" w:name="_Toc19"/><w:r><w:t>Abstract</w:t></w:r><w:bookmarkEnd w:id="17"/></w:p><w:p><w:pPr/><w:r><w:rPr/><w:t xml:space="preserve">Since growing up nowadays almost certainly involves the daily use of modern technologies, it is important to examine how and in what ways young people spend time online and using social networks. The aim of the study was to examine the general habits of internet and social media use among adolescents of high school age in the Republic of Croatia (N = 1806). Several factors of time spent on the internet and social networks were examined through the Google Forms platform
by an online questionnaire designed for the purpose of this research. The findings indicate activities of adolescents across specific social networks, as well as adolescent-related factors in the context of online activities. The findings show that social network preferences in adolescents have changed over time but also suggest a tendency to engage in risky behaviors such as meeting or corresponding with strangers. Findings point to the need for continuous training of experts and parents who will keep track of habits of children and young people, as well as the implementation of structured modalities of work with children and young people regarding safe internet use.</w:t></w:r></w:p><w:p><w:pPr><w:pStyle w:val="Heading1"/></w:pPr><w:bookmarkStart w:id="18" w:name="_Toc20"/><w:r><w:t>Outcome</w:t></w:r><w:bookmarkEnd w:id="18"/></w:p><w:p><w:pPr/><w:r><w:rPr/><w:t xml:space="preserve">"The results are showing that adolescents use these social media platforms: YouTube (98%), Instagram (92,4%), WhatsApp (88,8%), Snapchat (63,2%), Facebook Messenger (50,3%), Facebook (42,2%). Other platforms, such as Viber (27,4%), Pinterest (23,6%), Twitter (13,3%), Tumblr (6,6%), ASKfm (0,7%) and Vimeo (0,4%) are not used often." Buljan Flander et al, 2020, 282 
"Participants of this study, almost 70% had contact with people online who they never met in person, and more than 30% set a meeting in person with people they met online. Most participants claim to have profiles on only one social media platforms, but researchers conclude that many of them have more than one profile per social media platform (reason is unknown). Circa 40% of participants estimate they spend around three hours per day on social media." Buljan Flander et al, 2020, 289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B99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2025-10-15T18:02:23+00:00</dcterms:created>
  <dcterms:modified xsi:type="dcterms:W3CDTF">2025-10-15T18:02:23+00:00</dcterms:modified>
</cp:coreProperties>
</file>

<file path=docProps/custom.xml><?xml version="1.0" encoding="utf-8"?>
<Properties xmlns="http://schemas.openxmlformats.org/officeDocument/2006/custom-properties" xmlns:vt="http://schemas.openxmlformats.org/officeDocument/2006/docPropsVTypes"/>
</file>