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Praxeologische Mediensozialisationsforschung. Langzeitstudie zu sozial benachteiligten Heranwachsenden.</w:t>
      </w:r>
    </w:p>
    <w:p>
      <w:pPr>
        <w:pStyle w:val="Title"/>
      </w:pPr>
      <w:r>
        <w:t>Engl. transl.: Praxeological media socialisation research. Longitudinal study on socially disadvantaged adolescents.</w:t>
      </w:r>
    </w:p>
    <w:p>
      <w:pPr>
        <w:pStyle w:val="Heading1"/>
      </w:pPr>
      <w:bookmarkStart w:id="1" w:name="_Toc3"/>
      <w:r>
        <w:t>Keywords</w:t>
      </w:r>
      <w:bookmarkEnd w:id="1"/>
    </w:p>
    <w:p>
      <w:pPr>
        <w:numPr>
          <w:ilvl w:val="0"/>
          <w:numId w:val="5"/>
        </w:numPr>
      </w:pPr>
      <w:r>
        <w:rPr/>
        <w:t xml:space="preserve">media socialisation</w:t>
      </w:r>
    </w:p>
    <w:p>
      <w:pPr>
        <w:numPr>
          <w:ilvl w:val="0"/>
          <w:numId w:val="5"/>
        </w:numPr>
      </w:pPr>
      <w:r>
        <w:rPr/>
        <w:t xml:space="preserve">reception studies</w:t>
      </w:r>
    </w:p>
    <w:p>
      <w:pPr>
        <w:numPr>
          <w:ilvl w:val="0"/>
          <w:numId w:val="5"/>
        </w:numPr>
      </w:pPr>
      <w:r>
        <w:rPr/>
        <w:t xml:space="preserve">social background</w:t>
      </w:r>
    </w:p>
    <w:p>
      <w:pPr>
        <w:numPr>
          <w:ilvl w:val="0"/>
          <w:numId w:val="5"/>
        </w:numPr>
      </w:pPr>
      <w:r>
        <w:rPr/>
        <w:t xml:space="preserve">adolescents</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DOI</w:t>
      </w:r>
      <w:bookmarkEnd w:id="4"/>
    </w:p>
    <w:p>
      <w:pPr/>
      <w:r>
        <w:rPr/>
        <w:t xml:space="preserve">10.5771/9783845252827</w:t>
      </w:r>
    </w:p>
    <w:p>
      <w:pPr>
        <w:pStyle w:val="Heading2"/>
      </w:pPr>
      <w:bookmarkStart w:id="5" w:name="_Toc7"/>
      <w:r>
        <w:t>Issued</w:t>
      </w:r>
      <w:bookmarkEnd w:id="5"/>
    </w:p>
    <w:p>
      <w:pPr/>
      <w:r>
        <w:rPr/>
        <w:t xml:space="preserve">2014</w:t>
      </w:r>
    </w:p>
    <w:p>
      <w:pPr>
        <w:pStyle w:val="Heading2"/>
      </w:pPr>
      <w:bookmarkStart w:id="6" w:name="_Toc8"/>
      <w:r>
        <w:t>Language</w:t>
      </w:r>
      <w:bookmarkEnd w:id="6"/>
    </w:p>
    <w:p>
      <w:pPr/>
      <w:r>
        <w:rPr/>
        <w:t xml:space="preserve">German</w:t>
      </w:r>
    </w:p>
    <w:p>
      <w:pPr>
        <w:pStyle w:val="Heading2"/>
      </w:pPr>
      <w:bookmarkStart w:id="7" w:name="_Toc9"/>
      <w:r>
        <w:t>Authors</w:t>
      </w:r>
      <w:bookmarkEnd w:id="7"/>
    </w:p>
    <w:p>
      <w:pPr/>
      <w:r>
        <w:rPr/>
        <w:t xml:space="preserve">Paus-Hasebrink I.;Kulterer J.</w:t>
      </w:r>
    </w:p>
    <w:p>
      <w:pPr>
        <w:pStyle w:val="Heading2"/>
      </w:pPr>
      <w:bookmarkStart w:id="8" w:name="_Toc10"/>
      <w:r>
        <w:t>Type</w:t>
      </w:r>
      <w:bookmarkEnd w:id="8"/>
    </w:p>
    <w:p>
      <w:pPr/>
      <w:r>
        <w:rPr/>
        <w:t xml:space="preserve">Book</w:t>
      </w:r>
    </w:p>
    <w:p>
      <w:pPr>
        <w:pStyle w:val="Heading2"/>
      </w:pPr>
      <w:bookmarkStart w:id="9" w:name="_Toc11"/>
      <w:r>
        <w:t>Book title</w:t>
      </w:r>
      <w:bookmarkEnd w:id="9"/>
    </w:p>
    <w:p>
      <w:pPr/>
      <w:r>
        <w:rPr/>
        <w:t xml:space="preserve">Praxeologische Mediensozialisationsforschung. Langzeitstudie zu sozial benachteiligten Heranwachsenden.</w:t>
      </w:r>
    </w:p>
    <w:p>
      <w:pPr>
        <w:pStyle w:val="Heading2"/>
      </w:pPr>
      <w:bookmarkStart w:id="10" w:name="_Toc12"/>
      <w:r>
        <w:t>Publisher</w:t>
      </w:r>
      <w:bookmarkEnd w:id="10"/>
    </w:p>
    <w:p>
      <w:pPr/>
      <w:r>
        <w:rPr/>
        <w:t xml:space="preserve">Nomos</w:t>
      </w:r>
    </w:p>
    <w:p>
      <w:pPr>
        <w:pStyle w:val="Heading2"/>
      </w:pPr>
      <w:bookmarkStart w:id="11" w:name="_Toc13"/>
      <w:r>
        <w:t>Place</w:t>
      </w:r>
      <w:bookmarkEnd w:id="11"/>
    </w:p>
    <w:p>
      <w:pPr/>
      <w:r>
        <w:rPr/>
        <w:t xml:space="preserve">Baden-Baden</w:t>
      </w:r>
    </w:p>
    <w:p>
      <w:pPr>
        <w:pStyle w:val="Heading2"/>
      </w:pPr>
      <w:bookmarkStart w:id="12" w:name="_Toc14"/>
      <w:r>
        <w:t>Topics</w:t>
      </w:r>
      <w:bookmarkEnd w:id="12"/>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Access, inequalities and vulnerabilities</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3" w:name="_Toc15"/>
      <w:r>
        <w:t>Sample</w:t>
      </w:r>
      <w:bookmarkEnd w:id="13"/>
    </w:p>
    <w:p>
      <w:pPr/>
      <w:r>
        <w:rPr/>
        <w:t xml:space="preserve">20 and later on 18 families and their children (around 5 years old in 2005; around 14-15 years old in 2014)</w:t>
      </w:r>
    </w:p>
    <w:p>
      <w:pPr>
        <w:pStyle w:val="Heading2"/>
      </w:pPr>
      <w:bookmarkStart w:id="14" w:name="_Toc16"/>
      <w:r>
        <w:t>Implications For Parents About</w:t>
      </w:r>
      <w:bookmarkEnd w:id="14"/>
    </w:p>
    <w:p>
      <w:pPr/>
      <w:r>
        <w:rPr/>
        <w:t xml:space="preserve">Parental practices / parental mediation</w:t>
      </w:r>
    </w:p>
    <w:p>
      <w:pPr>
        <w:pStyle w:val="Heading2"/>
      </w:pPr>
      <w:bookmarkStart w:id="15" w:name="_Toc17"/>
      <w:r>
        <w:t>Implications For Educators About</w:t>
      </w:r>
      <w:bookmarkEnd w:id="15"/>
    </w:p>
    <w:p>
      <w:pPr/>
      <w:r>
        <w:rPr/>
        <w:t xml:space="preserve">Other</w:t>
      </w:r>
    </w:p>
    <w:p>
      <w:pPr>
        <w:pStyle w:val="Heading2"/>
      </w:pPr>
      <w:bookmarkStart w:id="16" w:name="_Toc18"/>
      <w:r>
        <w:t>Implications For Policy Makers About</w:t>
      </w:r>
      <w:bookmarkEnd w:id="16"/>
    </w:p>
    <w:p>
      <w:pPr>
        <w:pStyle w:val="Heading2"/>
      </w:pPr>
      <w:bookmarkStart w:id="17" w:name="_Toc19"/>
      <w:r>
        <w:t>Other PolicyMaker Implication</w:t>
      </w:r>
      <w:bookmarkEnd w:id="17"/>
    </w:p>
    <w:p>
      <w:pPr/>
      <w:r>
        <w:rPr/>
        <w:t xml:space="preserve">Prevention and intervention programs</w:t>
      </w:r>
    </w:p>
    <w:p>
      <w:pPr>
        <w:pStyle w:val="Heading2"/>
      </w:pPr>
      <w:bookmarkStart w:id="18" w:name="_Toc20"/>
      <w:r>
        <w:t>Implications For Stakeholders About</w:t>
      </w:r>
      <w:bookmarkEnd w:id="18"/>
    </w:p>
    <w:p>
      <w:pPr/>
      <w:r>
        <w:rPr/>
        <w:t xml:space="preserve">Researchers</w:t>
      </w:r>
    </w:p>
    <w:p>
      <w:pPr>
        <w:pStyle w:val="Heading1"/>
      </w:pPr>
      <w:bookmarkStart w:id="19" w:name="_Toc21"/>
      <w:r>
        <w:t>Abstract</w:t>
      </w:r>
      <w:bookmarkEnd w:id="19"/>
    </w:p>
    <w:p>
      <w:pPr/>
      <w:r>
        <w:rPr/>
        <w:t xml:space="preserve">This book conceptualises the socialisation of human beings as a lifelong process, one that happens in different social contexts in which the individual engages actively. These contexts constitute the field in which the individual constructs identity and its competence to act in everyday life. From a theoretical perspective the book maps a praxeological approach to integrative research on media socialisation as a form of family research. Furthermore it presents a longitudinal panel study (2005 until 2012) on the (media-)socialisation of socially disadvantaged children that can be characterised as what Norbert Elias called „committed social research“. Thus it does not only follow a scientific interest, but also a social one. The study asks for the subjective sense of the media use of parents and children within the context of their individual life world (lebenswelt). It also asks how they try to make sense of processes in their surroundings and make their everyday lives manageable against the background of their respective milieu, also with the help of available media.</w:t>
      </w:r>
    </w:p>
    <w:p>
      <w:pPr>
        <w:pStyle w:val="Heading1"/>
      </w:pPr>
      <w:bookmarkStart w:id="20" w:name="_Toc22"/>
      <w:r>
        <w:t>Outcome</w:t>
      </w:r>
      <w:bookmarkEnd w:id="20"/>
    </w:p>
    <w:p>
      <w:pPr/>
      <w:r>
        <w:rPr/>
        <w:t xml:space="preserve">This book conceptualises the socialisation of human beings as a lifelong process, one that happens in different social contexts in which the individual engages actively. These contexts constitute the field in which the individual constructs identity and its competence to act in everyday life. From a theoretical perspective the book maps a praxeological approach to integrative research on media socialisation as a form of family research. Furthermore it presents a longitudinal panel study (2005 until 2012) on the (media-)socialisation of socially disadvantaged children that can be characterised as what Norbert Elias called „committed social research“. Thus it does not only follow a scientific interest, but also a social one. The study asks for the subjective sense of the media use of parents and children within the context of their individual life world (lebenswelt). It also asks how they try to make sense of processes in their surroundings and make their everyday lives manageable against the background of their respective milieu, also with the help of available media. Based on five waves of research, the book offers a first typology with five different family types, which are based on three characteristics: socio-economic background, socio-emotional circumstances and family climate, coping strategies.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99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2025-10-15T11:00:58+00:00</dcterms:created>
  <dcterms:modified xsi:type="dcterms:W3CDTF">2025-10-15T11:00:58+00:00</dcterms:modified>
</cp:coreProperties>
</file>

<file path=docProps/custom.xml><?xml version="1.0" encoding="utf-8"?>
<Properties xmlns="http://schemas.openxmlformats.org/officeDocument/2006/custom-properties" xmlns:vt="http://schemas.openxmlformats.org/officeDocument/2006/docPropsVTypes"/>
</file>